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2DEB" w14:textId="77777777" w:rsidR="00AB7360" w:rsidRPr="00476A4E" w:rsidRDefault="00AB7360" w:rsidP="00621CE3">
      <w:pPr>
        <w:pStyle w:val="Title"/>
      </w:pPr>
      <w:r w:rsidRPr="00476A4E">
        <w:t xml:space="preserve">Tenure Stream at the Rank of Assistant </w:t>
      </w:r>
      <w:r w:rsidRPr="00621CE3">
        <w:t>Professor</w:t>
      </w:r>
    </w:p>
    <w:p w14:paraId="011393B9" w14:textId="4F828E77" w:rsidR="00AB7360" w:rsidRPr="008A0849" w:rsidRDefault="00AB7360" w:rsidP="00324EC6">
      <w:pPr>
        <w:rPr>
          <w:rStyle w:val="Strong"/>
        </w:rPr>
      </w:pPr>
      <w:r w:rsidRPr="008A0849">
        <w:rPr>
          <w:rStyle w:val="Strong"/>
        </w:rPr>
        <w:t>[This letter is meant to be a short, welcoming cover letter. It can also include any department-specific issues that need to be emphasized.]</w:t>
      </w:r>
    </w:p>
    <w:p w14:paraId="6716E3B7" w14:textId="77777777" w:rsidR="00AB7360" w:rsidRPr="008A0849" w:rsidRDefault="00AB7360" w:rsidP="00324EC6">
      <w:r w:rsidRPr="008A0849">
        <w:t>Dear [  ]</w:t>
      </w:r>
    </w:p>
    <w:p w14:paraId="742AD692" w14:textId="014D6F9F" w:rsidR="00AB7360" w:rsidRPr="008A0849" w:rsidRDefault="00AB7360" w:rsidP="00324EC6">
      <w:r w:rsidRPr="008A0849">
        <w:t>I am writing with the app</w:t>
      </w:r>
      <w:r w:rsidR="00E56E31">
        <w:t xml:space="preserve">roval of the </w:t>
      </w:r>
      <w:r w:rsidR="00E56E31" w:rsidRPr="00E56E31">
        <w:t>Vice-Principal, Academic and Dean of the University of Toronto Mississauga and of the Vice-President and Provost of the University</w:t>
      </w:r>
      <w:r w:rsidRPr="008A0849">
        <w:t xml:space="preserve">, to offer you a tenure-stream position in the Department of [  ] at the rank of Assistant Professor, effective </w:t>
      </w:r>
      <w:r w:rsidRPr="008A0849">
        <w:rPr>
          <w:rStyle w:val="Strong"/>
        </w:rPr>
        <w:t>[start date]</w:t>
      </w:r>
      <w:r w:rsidRPr="008A0849">
        <w:t>.</w:t>
      </w:r>
    </w:p>
    <w:p w14:paraId="2A768458" w14:textId="537E3E4A" w:rsidR="00AB7360" w:rsidRPr="008A0849" w:rsidRDefault="00AB7360" w:rsidP="00324EC6">
      <w:pPr>
        <w:tabs>
          <w:tab w:val="left" w:pos="1935"/>
        </w:tabs>
      </w:pPr>
      <w:r w:rsidRPr="008A0849">
        <w:t>The details of the offer are</w:t>
      </w:r>
      <w:r w:rsidR="00E021DD">
        <w:t xml:space="preserve"> described in the attachment.</w:t>
      </w:r>
    </w:p>
    <w:p w14:paraId="1FBFEDA0" w14:textId="77777777" w:rsidR="00AB7360" w:rsidRPr="008A0849" w:rsidRDefault="00AB7360" w:rsidP="00324EC6">
      <w:r w:rsidRPr="008A0849">
        <w:t>In addition to the items covered in the attachment, the offer of employment includes the following Department/Faculty-specific items:</w:t>
      </w:r>
    </w:p>
    <w:p w14:paraId="210BDBCF" w14:textId="77777777" w:rsidR="00AB7360" w:rsidRPr="008A0849" w:rsidRDefault="00AB7360" w:rsidP="00324EC6">
      <w:pPr>
        <w:rPr>
          <w:rStyle w:val="Strong"/>
        </w:rPr>
      </w:pPr>
      <w:r w:rsidRPr="008A0849">
        <w:rPr>
          <w:rStyle w:val="Strong"/>
        </w:rPr>
        <w:t>[Insert—examples could include special office or lab space arrangements, and other infrastructural supports. Please do not outline research funding or teaching arrangements here.]</w:t>
      </w:r>
    </w:p>
    <w:p w14:paraId="5EFC4F04" w14:textId="77777777" w:rsidR="00AB7360" w:rsidRPr="008A0849" w:rsidRDefault="00AB7360" w:rsidP="00324EC6">
      <w:r w:rsidRPr="008A0849">
        <w:t xml:space="preserve">Please take the time to read carefully the attachment and the various policies referred to in the attachment. They form a binding part of your contract of employment. You may indicate your acceptance by returning this letter, signed, to my attention by </w:t>
      </w:r>
      <w:r w:rsidRPr="008A0849">
        <w:rPr>
          <w:rStyle w:val="Strong"/>
        </w:rPr>
        <w:t>[return date]</w:t>
      </w:r>
      <w:r w:rsidRPr="008A0849">
        <w:t>. Otherwise, this offer will be automatically withdrawn on that date.</w:t>
      </w:r>
    </w:p>
    <w:p w14:paraId="10703CD9" w14:textId="5EF1EC2E" w:rsidR="00AB7360" w:rsidRPr="008A0849" w:rsidRDefault="00AB7360" w:rsidP="00324EC6">
      <w:r w:rsidRPr="008A0849">
        <w:t xml:space="preserve">My colleagues and I look forward to having you join us </w:t>
      </w:r>
      <w:r w:rsidR="002F3AA5" w:rsidRPr="008A0849">
        <w:t xml:space="preserve">at the University of </w:t>
      </w:r>
      <w:r w:rsidR="00F456CB">
        <w:t>Toronto</w:t>
      </w:r>
      <w:bookmarkStart w:id="0" w:name="_GoBack"/>
      <w:bookmarkEnd w:id="0"/>
      <w:r w:rsidR="002F3AA5" w:rsidRPr="008A0849">
        <w:t xml:space="preserve">. </w:t>
      </w:r>
      <w:r w:rsidR="002F3AA5" w:rsidRPr="008A0849">
        <w:rPr>
          <w:rStyle w:val="Strong"/>
        </w:rPr>
        <w:t>[I</w:t>
      </w:r>
      <w:r w:rsidRPr="008A0849">
        <w:rPr>
          <w:rStyle w:val="Strong"/>
        </w:rPr>
        <w:t>nsert any other welcoming or personal details here</w:t>
      </w:r>
      <w:r w:rsidR="002F3AA5" w:rsidRPr="008A0849">
        <w:rPr>
          <w:rStyle w:val="Strong"/>
        </w:rPr>
        <w:t>.</w:t>
      </w:r>
      <w:r w:rsidRPr="008A0849">
        <w:rPr>
          <w:rStyle w:val="Strong"/>
        </w:rPr>
        <w:t>]</w:t>
      </w:r>
    </w:p>
    <w:p w14:paraId="1DFF8DFC" w14:textId="69E14516" w:rsidR="00F456CB" w:rsidRPr="008A0849" w:rsidRDefault="00E021DD" w:rsidP="00E021DD">
      <w:pPr>
        <w:tabs>
          <w:tab w:val="left" w:pos="6165"/>
        </w:tabs>
      </w:pPr>
      <w:r>
        <w:t>Yours sincerely,</w:t>
      </w:r>
      <w:r w:rsidR="00F456CB">
        <w:br/>
      </w:r>
    </w:p>
    <w:p w14:paraId="3AD3E019" w14:textId="77777777" w:rsidR="00AB7360" w:rsidRPr="008A0849" w:rsidRDefault="00AB7360" w:rsidP="00324EC6">
      <w:r w:rsidRPr="008A0849">
        <w:t>______________________</w:t>
      </w:r>
    </w:p>
    <w:p w14:paraId="3A2C2F79" w14:textId="68705033" w:rsidR="00F456CB" w:rsidRDefault="00F456CB" w:rsidP="00324EC6">
      <w:r>
        <w:t>Chair</w:t>
      </w:r>
      <w:r>
        <w:br/>
      </w:r>
    </w:p>
    <w:p w14:paraId="23C8BED9" w14:textId="49A91CF5" w:rsidR="00F456CB" w:rsidRDefault="00F456CB" w:rsidP="00324EC6">
      <w:r w:rsidRPr="00F456CB">
        <w:t>______________________</w:t>
      </w:r>
    </w:p>
    <w:p w14:paraId="27E35963" w14:textId="77777777" w:rsidR="00F456CB" w:rsidRDefault="00F456CB" w:rsidP="00324EC6">
      <w:r>
        <w:t>Graduate Chair</w:t>
      </w:r>
    </w:p>
    <w:p w14:paraId="23852747" w14:textId="7D790C8C" w:rsidR="00AB7360" w:rsidRPr="008A0849" w:rsidRDefault="00AB7360" w:rsidP="00324EC6">
      <w:r w:rsidRPr="008A0849">
        <w:lastRenderedPageBreak/>
        <w:t>Attachments</w:t>
      </w:r>
      <w:r w:rsidR="00062F8D">
        <w:br/>
      </w:r>
      <w:r w:rsidRPr="008A0849">
        <w:t>cc: Dean</w:t>
      </w:r>
      <w:r w:rsidR="002F3AA5" w:rsidRPr="008A0849">
        <w:t xml:space="preserve"> </w:t>
      </w:r>
    </w:p>
    <w:p w14:paraId="4640A423" w14:textId="708B557A" w:rsidR="00AB7360" w:rsidRPr="008A0849" w:rsidRDefault="00AB7360" w:rsidP="00324EC6">
      <w:r w:rsidRPr="008A0849">
        <w:t>I have read this letter, the attachments and the items referred to in the attachments, and accept employment on the basis of all these provisions.</w:t>
      </w:r>
    </w:p>
    <w:p w14:paraId="38E5A849" w14:textId="77777777" w:rsidR="00AB7360" w:rsidRPr="008A0849" w:rsidRDefault="00AB7360" w:rsidP="00324EC6"/>
    <w:p w14:paraId="08D24A9A" w14:textId="625CA509" w:rsidR="00AB7360" w:rsidRPr="008A0849" w:rsidRDefault="00AB7360" w:rsidP="008A2D99">
      <w:pPr>
        <w:tabs>
          <w:tab w:val="left" w:pos="2850"/>
        </w:tabs>
      </w:pPr>
      <w:r w:rsidRPr="008A0849">
        <w:t>__________________</w:t>
      </w:r>
      <w:r w:rsidRPr="008A0849">
        <w:tab/>
      </w:r>
      <w:r w:rsidRPr="008A0849">
        <w:tab/>
      </w:r>
      <w:r w:rsidRPr="008A0849">
        <w:tab/>
        <w:t>___________________</w:t>
      </w:r>
      <w:r w:rsidR="008A2D99">
        <w:br/>
      </w:r>
      <w:r w:rsidR="00062F8D">
        <w:t>Signature</w:t>
      </w:r>
      <w:r w:rsidR="008A2D99">
        <w:tab/>
      </w:r>
      <w:r w:rsidR="008A2D99">
        <w:tab/>
      </w:r>
      <w:r w:rsidR="008A2D99">
        <w:tab/>
      </w:r>
      <w:r w:rsidRPr="008A0849">
        <w:t>Date</w:t>
      </w:r>
    </w:p>
    <w:p w14:paraId="679FD187" w14:textId="77777777" w:rsidR="00E021DD" w:rsidRDefault="00E021DD">
      <w:pPr>
        <w:tabs>
          <w:tab w:val="clear" w:pos="432"/>
        </w:tabs>
        <w:spacing w:line="290" w:lineRule="exact"/>
        <w:rPr>
          <w:rFonts w:ascii="Lucida Bright" w:eastAsia="Times New Roman" w:hAnsi="Lucida Bright" w:cs="Times New Roman"/>
          <w:b/>
          <w:bCs/>
          <w:color w:val="002A5C"/>
          <w:sz w:val="35"/>
          <w:szCs w:val="28"/>
          <w:lang w:eastAsia="en-CA"/>
        </w:rPr>
      </w:pPr>
      <w:r>
        <w:br w:type="page"/>
      </w:r>
    </w:p>
    <w:p w14:paraId="0684AED2" w14:textId="27CFBD59" w:rsidR="00AB7360" w:rsidRPr="008A0849" w:rsidRDefault="00AB7360" w:rsidP="00324EC6">
      <w:pPr>
        <w:pStyle w:val="Heading1nonumber"/>
      </w:pPr>
      <w:r w:rsidRPr="008A0849">
        <w:lastRenderedPageBreak/>
        <w:t>Attachment:</w:t>
      </w:r>
    </w:p>
    <w:p w14:paraId="2B335C99" w14:textId="77777777" w:rsidR="00AB7360" w:rsidRPr="008A0849" w:rsidRDefault="00AB7360" w:rsidP="00DA61E1">
      <w:pPr>
        <w:pStyle w:val="Heading1nonumber"/>
      </w:pPr>
      <w:r w:rsidRPr="008A0849">
        <w:t>Detailed Terms and Conditions of Offer of Employment for [Name of Candidate]</w:t>
      </w:r>
    </w:p>
    <w:p w14:paraId="6C7416CC" w14:textId="77777777" w:rsidR="00AB7360" w:rsidRPr="008A0849" w:rsidRDefault="00AB7360" w:rsidP="00324EC6">
      <w:pPr>
        <w:pStyle w:val="Heading2nonumber"/>
      </w:pPr>
      <w:r w:rsidRPr="008A0849">
        <w:t>Appointment and Term of Appointment</w:t>
      </w:r>
    </w:p>
    <w:p w14:paraId="3C9B794F" w14:textId="77777777" w:rsidR="00AB7360" w:rsidRPr="008A0849" w:rsidRDefault="00AB7360" w:rsidP="00324EC6">
      <w:r w:rsidRPr="008A0849">
        <w:t>Your appointment is to the rank of Assistant Professor, in the tenure stream, effective July 1, 20[  ]. This initial appointment is for a period of four years, from July 1, 20[  ] to June 30, 20[  ].</w:t>
      </w:r>
    </w:p>
    <w:p w14:paraId="3389A670" w14:textId="77777777" w:rsidR="00AB7360" w:rsidRPr="008A0849" w:rsidRDefault="00AB7360" w:rsidP="00324EC6">
      <w:r w:rsidRPr="008A0849">
        <w:t xml:space="preserve">Your probationary review will take place after May 1, 20[  ], with a decision by November 30, 20[  ]. If the review is positive, you will be offered an additional contract of two years until June 30, 20[  ], and you will be considered for tenure by April 15, 20[  ]. </w:t>
      </w:r>
    </w:p>
    <w:p w14:paraId="42C2EF41" w14:textId="77777777" w:rsidR="00AB7360" w:rsidRPr="008A0849" w:rsidRDefault="00AB7360" w:rsidP="00324EC6">
      <w:r w:rsidRPr="008A0849">
        <w:t xml:space="preserve">The details of the probationary process, and the considerations relating to possible further contracts and an award of tenure, are all described in the University's </w:t>
      </w:r>
      <w:r w:rsidRPr="008A0849">
        <w:rPr>
          <w:rStyle w:val="Emphasis"/>
        </w:rPr>
        <w:t>Policy and Procedures on Academic Appointments</w:t>
      </w:r>
      <w:r w:rsidRPr="008A0849">
        <w:t xml:space="preserve">, which are attached. If, pursuant to the </w:t>
      </w:r>
      <w:r w:rsidRPr="008A0849">
        <w:rPr>
          <w:rStyle w:val="Emphasis"/>
        </w:rPr>
        <w:t>Policy and Procedures</w:t>
      </w:r>
      <w:r w:rsidRPr="008A0849">
        <w:t>, your initial appointment is not renewed, your employment shall cease at the expiry of the initial term, without further payments other than those accrued to that date, and this offer shall constitute notice of termination at that time.</w:t>
      </w:r>
    </w:p>
    <w:p w14:paraId="4B615EEA" w14:textId="63FFB367" w:rsidR="00AB7360" w:rsidRPr="008A0849" w:rsidRDefault="00AB7360" w:rsidP="00324EC6">
      <w:r w:rsidRPr="008A0849">
        <w:t>As a tenure</w:t>
      </w:r>
      <w:r w:rsidR="002F3AA5" w:rsidRPr="008A0849">
        <w:t>-</w:t>
      </w:r>
      <w:r w:rsidRPr="008A0849">
        <w:t>stream faculty member, you will also hold a graduate appointment in the Department.</w:t>
      </w:r>
    </w:p>
    <w:p w14:paraId="4B1912CA" w14:textId="4CE44434" w:rsidR="00AB7360" w:rsidRPr="008A0849" w:rsidRDefault="00AB7360" w:rsidP="00324EC6">
      <w:r w:rsidRPr="008A0849">
        <w:rPr>
          <w:rStyle w:val="Strong"/>
        </w:rPr>
        <w:t>[If the graduate department is not the budgetary department, replace the sentence above with the following:]</w:t>
      </w:r>
      <w:r w:rsidR="002F3AA5" w:rsidRPr="008A0849">
        <w:rPr>
          <w:rStyle w:val="Strong"/>
        </w:rPr>
        <w:br/>
      </w:r>
      <w:r w:rsidRPr="008A0849">
        <w:t>As a tenure</w:t>
      </w:r>
      <w:r w:rsidR="002F3AA5" w:rsidRPr="008A0849">
        <w:t>-</w:t>
      </w:r>
      <w:r w:rsidRPr="008A0849">
        <w:t>stream faculty member, you will also hold a non-budgetary cross-appointment in the Graduate Department of [  ].</w:t>
      </w:r>
    </w:p>
    <w:p w14:paraId="1BF2B0B8" w14:textId="77777777" w:rsidR="00AB7360" w:rsidRPr="008A0849" w:rsidRDefault="00AB7360" w:rsidP="00324EC6">
      <w:pPr>
        <w:pStyle w:val="Heading2nonumber"/>
      </w:pPr>
      <w:r w:rsidRPr="008A0849">
        <w:t>Salary</w:t>
      </w:r>
    </w:p>
    <w:p w14:paraId="48723472" w14:textId="31A66FA0" w:rsidR="00AB7360" w:rsidRPr="008A0849" w:rsidRDefault="00AB7360" w:rsidP="00324EC6">
      <w:r w:rsidRPr="008A0849">
        <w:t>Your starting salary will be $ [  ] per month, equivalent to an annual salary of $ [  ]. This is a firm salary offer, and will not be affected by any salary</w:t>
      </w:r>
      <w:r w:rsidR="00C20F60">
        <w:t xml:space="preserve"> increase effective July 1, 20[  ]</w:t>
      </w:r>
      <w:r w:rsidRPr="008A0849">
        <w:t xml:space="preserve"> that may occur as a result of negotiations between the University and the Faculty Association.  </w:t>
      </w:r>
    </w:p>
    <w:p w14:paraId="6052DCB1" w14:textId="12170B88" w:rsidR="00AB7360" w:rsidRPr="008A0849" w:rsidRDefault="00AB7360" w:rsidP="00324EC6">
      <w:r w:rsidRPr="008A0849">
        <w:t xml:space="preserve">Your salary will be paid by direct deposit. Please bring a void cheque with you on your first day of work. </w:t>
      </w:r>
      <w:r w:rsidR="008B21CD" w:rsidRPr="008B21CD">
        <w:rPr>
          <w:b/>
          <w:bCs/>
        </w:rPr>
        <w:t>Claremont Uy</w:t>
      </w:r>
      <w:r w:rsidRPr="008A0849">
        <w:t xml:space="preserve"> will meet with you in your first few days of employment to complete payroll documentation. </w:t>
      </w:r>
    </w:p>
    <w:p w14:paraId="65E965FD" w14:textId="17A06F27" w:rsidR="00AB7360" w:rsidRPr="008A0849" w:rsidRDefault="00AB7360" w:rsidP="00324EC6">
      <w:r w:rsidRPr="008A0849">
        <w:t xml:space="preserve">Your printable monthly pay statement is available online through the University’s Employee Self-Service (ESS). ESS and information concerning ESS </w:t>
      </w:r>
      <w:r w:rsidR="007616AF" w:rsidRPr="008A0849">
        <w:t>are</w:t>
      </w:r>
      <w:r w:rsidRPr="008A0849">
        <w:t xml:space="preserve"> available at: </w:t>
      </w:r>
      <w:hyperlink r:id="rId11" w:history="1">
        <w:r w:rsidR="00301042">
          <w:rPr>
            <w:rStyle w:val="Hyperlink"/>
          </w:rPr>
          <w:t>hrandequity.utoronto.ca/hr-service-centre/</w:t>
        </w:r>
      </w:hyperlink>
      <w:r w:rsidRPr="008A0849">
        <w:t>.</w:t>
      </w:r>
      <w:r w:rsidR="007B52F5" w:rsidRPr="008A0849">
        <w:t xml:space="preserve"> Your annual T4 slip will also be provided electronically through ESS. By signing this letter, you authorize the University to provide your T4 slips electronically and not in a paper format.</w:t>
      </w:r>
    </w:p>
    <w:p w14:paraId="45FA8622" w14:textId="77777777" w:rsidR="00AB7360" w:rsidRPr="008A0849" w:rsidRDefault="00AB7360" w:rsidP="00324EC6">
      <w:pPr>
        <w:pStyle w:val="Heading2nonumber"/>
      </w:pPr>
      <w:r w:rsidRPr="008A0849">
        <w:t>Benefits</w:t>
      </w:r>
    </w:p>
    <w:p w14:paraId="36F89D6B" w14:textId="0BE1D37B" w:rsidR="00AB7360" w:rsidRPr="008A0849" w:rsidRDefault="00AB7360" w:rsidP="00324EC6">
      <w:r w:rsidRPr="008A0849">
        <w:t>The University has an extensive fringe benefit package that is modified from time to time and currently includes, but is not limited to, a pension plan, medical and insurance benefits</w:t>
      </w:r>
      <w:r w:rsidR="0096295A">
        <w:t>,</w:t>
      </w:r>
      <w:r w:rsidRPr="008A0849">
        <w:t xml:space="preserve"> and a dental plan. General information on these benefits can be found at </w:t>
      </w:r>
      <w:hyperlink r:id="rId12" w:history="1">
        <w:r w:rsidR="00301042">
          <w:rPr>
            <w:rStyle w:val="Hyperlink"/>
          </w:rPr>
          <w:t>hrandequity.utoronto.ca/careers/benefits/</w:t>
        </w:r>
      </w:hyperlink>
      <w:r w:rsidRPr="008A0849">
        <w:t>. For details and to enrol in these</w:t>
      </w:r>
      <w:r w:rsidR="00864991">
        <w:t xml:space="preserve"> benefits, </w:t>
      </w:r>
      <w:r w:rsidR="00864991" w:rsidRPr="00864991">
        <w:t>contact UTM’s Human Resources office at (905) 828-3935.</w:t>
      </w:r>
    </w:p>
    <w:p w14:paraId="7ABBEE41" w14:textId="77777777" w:rsidR="00AB7360" w:rsidRPr="008A0849" w:rsidRDefault="00AB7360" w:rsidP="00324EC6">
      <w:pPr>
        <w:pStyle w:val="Heading2nonumber"/>
      </w:pPr>
      <w:r w:rsidRPr="008A0849">
        <w:t>Vacation</w:t>
      </w:r>
    </w:p>
    <w:p w14:paraId="16B03265" w14:textId="77777777" w:rsidR="00AB7360" w:rsidRPr="008A0849" w:rsidRDefault="00AB7360" w:rsidP="00324EC6">
      <w:r w:rsidRPr="008A0849">
        <w:t xml:space="preserve">You are entitled to a vacation of one month each year. Vacation pay is included within your salary. Vacation is to be scheduled at a mutually convenient time. Normally, vacation may not be accumulated from year to year. Details are described in the </w:t>
      </w:r>
      <w:r w:rsidRPr="008A0849">
        <w:rPr>
          <w:rStyle w:val="Emphasis"/>
        </w:rPr>
        <w:t>Policy on Vacations</w:t>
      </w:r>
      <w:r w:rsidRPr="008A0849">
        <w:t>.</w:t>
      </w:r>
    </w:p>
    <w:p w14:paraId="008A0D0F" w14:textId="77777777" w:rsidR="00AB7360" w:rsidRPr="008A0849" w:rsidRDefault="00AB7360" w:rsidP="00324EC6">
      <w:pPr>
        <w:pStyle w:val="Heading2nonumber"/>
      </w:pPr>
      <w:r w:rsidRPr="008A0849">
        <w:t>UTFA Dues</w:t>
      </w:r>
    </w:p>
    <w:p w14:paraId="4B23AD0C" w14:textId="5D9F0CB3" w:rsidR="00AB7360" w:rsidRPr="008A0849" w:rsidRDefault="00AB7360" w:rsidP="00324EC6">
      <w:r w:rsidRPr="008A0849">
        <w:t>As a term and condition of employment</w:t>
      </w:r>
      <w:r w:rsidR="00994C9E" w:rsidRPr="008A0849">
        <w:t>,</w:t>
      </w:r>
      <w:r w:rsidRPr="008A0849">
        <w:t xml:space="preserve"> you are required to authorize the University to deduct from your salary an amount equal to membership dues in the University of Toronto Faculty Association fixed annually in accordance with the Association's constitution. Your written acceptance of this offer constitutes authorization for the University to make this deduction. The deduction will be remitted to the Association unless you object as a matter of conscience. Should you conscientiously object to deduction of dues, y</w:t>
      </w:r>
      <w:r w:rsidR="00644869" w:rsidRPr="008A0849">
        <w:t>ou may obtain a form from your d</w:t>
      </w:r>
      <w:r w:rsidRPr="008A0849">
        <w:t xml:space="preserve">ivisional Human Resources </w:t>
      </w:r>
      <w:r w:rsidR="00644869" w:rsidRPr="008A0849">
        <w:t>o</w:t>
      </w:r>
      <w:r w:rsidRPr="008A0849">
        <w:t xml:space="preserve">ffice that you must complete providing a written declaration and direction to remit the deduction to a charity selected from a list agreed upon by the University and the Association. More information about UTFA can be found at </w:t>
      </w:r>
      <w:hyperlink r:id="rId13" w:history="1">
        <w:r w:rsidRPr="008A0849">
          <w:rPr>
            <w:rStyle w:val="Hyperlink"/>
          </w:rPr>
          <w:t>www.utfa.org</w:t>
        </w:r>
      </w:hyperlink>
      <w:r w:rsidRPr="008A0849">
        <w:t xml:space="preserve">.  </w:t>
      </w:r>
    </w:p>
    <w:p w14:paraId="32B292D5" w14:textId="77777777" w:rsidR="00AB7360" w:rsidRPr="008A0849" w:rsidRDefault="00AB7360" w:rsidP="00324EC6">
      <w:pPr>
        <w:pStyle w:val="Heading2nonumber"/>
      </w:pPr>
      <w:r w:rsidRPr="008A0849">
        <w:t>Other Deductions</w:t>
      </w:r>
    </w:p>
    <w:p w14:paraId="07B7C2C9" w14:textId="525ECAB1" w:rsidR="00AB7360" w:rsidRPr="008A0849" w:rsidRDefault="00AB7360" w:rsidP="00324EC6">
      <w:r w:rsidRPr="008A0849">
        <w:t>Payments in respect of salary, benefits</w:t>
      </w:r>
      <w:r w:rsidR="00EE09AB">
        <w:t>,</w:t>
      </w:r>
      <w:r w:rsidRPr="008A0849">
        <w:t xml:space="preserve"> and any other items described in this offer are subject to deductions required by law and those made pursuant to the benefit plans in which you are enrolled, as applicable.</w:t>
      </w:r>
    </w:p>
    <w:p w14:paraId="1F538429" w14:textId="30E64E51" w:rsidR="0006260D" w:rsidRPr="00C900D0" w:rsidRDefault="00AB7360" w:rsidP="00C900D0">
      <w:r w:rsidRPr="00C900D0">
        <w:rPr>
          <w:rFonts w:ascii="Lucida Bright" w:eastAsia="Times New Roman" w:hAnsi="Lucida Bright" w:cs="Times New Roman"/>
          <w:b/>
          <w:bCs/>
          <w:color w:val="002A5C"/>
          <w:sz w:val="28"/>
          <w:szCs w:val="34"/>
          <w:lang w:eastAsia="en-CA"/>
        </w:rPr>
        <w:t>Travel and Moving Expenses [delete if not applicable</w:t>
      </w:r>
      <w:proofErr w:type="gramStart"/>
      <w:r w:rsidRPr="00C900D0">
        <w:rPr>
          <w:rFonts w:ascii="Lucida Bright" w:eastAsia="Times New Roman" w:hAnsi="Lucida Bright" w:cs="Times New Roman"/>
          <w:b/>
          <w:bCs/>
          <w:color w:val="002A5C"/>
          <w:sz w:val="28"/>
          <w:szCs w:val="34"/>
          <w:lang w:eastAsia="en-CA"/>
        </w:rPr>
        <w:t>]</w:t>
      </w:r>
      <w:proofErr w:type="gramEnd"/>
      <w:r w:rsidR="001B4D86">
        <w:br/>
      </w:r>
      <w:r w:rsidR="0006260D" w:rsidRPr="0006260D">
        <w:t xml:space="preserve">The University of Toronto Mississauga will reimburse you for travel and moving expenses in accordance with its practice.  This should usually provide for reimbursement of two-thirds of moving expenses and the cost of a one-way economy airfare. It will be necessary for you to submit estimates of your moving costs for your department chair's approval in advance. </w:t>
      </w:r>
    </w:p>
    <w:p w14:paraId="5E540608" w14:textId="6AF3A024" w:rsidR="00AB7360" w:rsidRPr="00C900D0" w:rsidRDefault="00AB7360" w:rsidP="00C900D0">
      <w:pPr>
        <w:pStyle w:val="Heading2nonumber"/>
      </w:pPr>
      <w:r w:rsidRPr="001B4D86">
        <w:lastRenderedPageBreak/>
        <w:t>Research Support</w:t>
      </w:r>
    </w:p>
    <w:p w14:paraId="58785C2A" w14:textId="071A909C" w:rsidR="00AB7360" w:rsidRPr="008A0849" w:rsidRDefault="00AB7360" w:rsidP="00324EC6">
      <w:r w:rsidRPr="00C900D0">
        <w:rPr>
          <w:b/>
          <w:bCs/>
        </w:rPr>
        <w:t xml:space="preserve">[Insert </w:t>
      </w:r>
      <w:r w:rsidRPr="008A0849">
        <w:rPr>
          <w:rStyle w:val="Strong"/>
        </w:rPr>
        <w:t>any other relevant start-up support, such as lab space.]</w:t>
      </w:r>
      <w:r w:rsidRPr="008A0849">
        <w:t xml:space="preserve"> General information about research services and funding opportunities for new faculty can be found at </w:t>
      </w:r>
      <w:hyperlink r:id="rId14" w:history="1">
        <w:r w:rsidR="008E27F1">
          <w:rPr>
            <w:rStyle w:val="Hyperlink"/>
          </w:rPr>
          <w:t>https://research.utoronto.ca/funding-opportunities/overview</w:t>
        </w:r>
      </w:hyperlink>
      <w:r w:rsidRPr="008A0849">
        <w:t>.</w:t>
      </w:r>
    </w:p>
    <w:p w14:paraId="1C748962" w14:textId="77777777" w:rsidR="00AB7360" w:rsidRPr="008A0849" w:rsidRDefault="00AB7360" w:rsidP="00324EC6">
      <w:pPr>
        <w:pStyle w:val="Heading2nonumber"/>
      </w:pPr>
      <w:r w:rsidRPr="008A0849">
        <w:t>Teaching</w:t>
      </w:r>
    </w:p>
    <w:p w14:paraId="354B38E1" w14:textId="77777777" w:rsidR="0006260D" w:rsidRPr="0006260D" w:rsidRDefault="0006260D" w:rsidP="0006260D">
      <w:pPr>
        <w:rPr>
          <w:lang w:val="en-US"/>
        </w:rPr>
      </w:pPr>
      <w:r w:rsidRPr="0006260D">
        <w:rPr>
          <w:lang w:val="en-US"/>
        </w:rPr>
        <w:t xml:space="preserve">You will be expected to assume a normal teaching load in the Department as described in its workload policy, which is attached. Additional or different teaching in areas for which you are qualified may be assigned in subsequent years. Throughout your early years in the Department, every effort will be made to assist you, should you require it, in developing teaching skills at the undergraduate level. In this regard we would draw your attention to the availability of the services of the University of Toronto’s Centre for Teaching Support &amp; Innovation located on the 4th floor of the Robarts Library, St. George campus and the Robert Gillespie Academic Skills Centre at the University of Toronto Mississauga.  For more information about the Centre for Teaching Support &amp; Innovation, go to </w:t>
      </w:r>
      <w:hyperlink r:id="rId15" w:history="1">
        <w:r w:rsidRPr="0006260D">
          <w:rPr>
            <w:color w:val="002A5C"/>
            <w:u w:val="single"/>
            <w:lang w:val="en-US"/>
          </w:rPr>
          <w:t>www.teaching.utoronto.ca</w:t>
        </w:r>
      </w:hyperlink>
      <w:r w:rsidRPr="0006260D">
        <w:rPr>
          <w:lang w:val="en-US"/>
        </w:rPr>
        <w:t xml:space="preserve"> and for the Robert Gillespie Academic Skills Centre go to</w:t>
      </w:r>
      <w:r w:rsidRPr="0006260D">
        <w:rPr>
          <w:u w:val="single"/>
          <w:lang w:val="en-US"/>
        </w:rPr>
        <w:t xml:space="preserve"> </w:t>
      </w:r>
      <w:hyperlink r:id="rId16" w:history="1">
        <w:r w:rsidRPr="0006260D">
          <w:rPr>
            <w:color w:val="002A5C"/>
            <w:u w:val="single"/>
            <w:lang w:val="en-US"/>
          </w:rPr>
          <w:t>http://www.utm.utoronto.ca/asc/</w:t>
        </w:r>
      </w:hyperlink>
    </w:p>
    <w:p w14:paraId="1CCC53C4" w14:textId="77777777" w:rsidR="00AB7360" w:rsidRPr="008A0849" w:rsidRDefault="00AB7360" w:rsidP="00324EC6">
      <w:pPr>
        <w:pStyle w:val="Heading2nonumber"/>
      </w:pPr>
      <w:r w:rsidRPr="008A0849">
        <w:t>Orientation</w:t>
      </w:r>
    </w:p>
    <w:p w14:paraId="65B65434" w14:textId="327E9D58" w:rsidR="00AB7360" w:rsidRPr="008A0849" w:rsidRDefault="00AB7360" w:rsidP="00324EC6">
      <w:pPr>
        <w:tabs>
          <w:tab w:val="left" w:pos="900"/>
        </w:tabs>
      </w:pPr>
      <w:r w:rsidRPr="008A0849">
        <w:t xml:space="preserve">The University will conduct an orientation session in the fall on research, teaching and career development issues. Further details will be available on the Centre for Teaching Support </w:t>
      </w:r>
      <w:r w:rsidR="00A912AE" w:rsidRPr="008A0849">
        <w:t>&amp;</w:t>
      </w:r>
      <w:r w:rsidRPr="008A0849">
        <w:t xml:space="preserve"> Innovation website. It is an expectation of your appointment that you will take part in this session.</w:t>
      </w:r>
    </w:p>
    <w:p w14:paraId="1EC92C1B" w14:textId="77777777" w:rsidR="00AB7360" w:rsidRPr="008A0849" w:rsidRDefault="00AB7360" w:rsidP="00324EC6">
      <w:pPr>
        <w:pStyle w:val="Heading2nonumber"/>
      </w:pPr>
      <w:r w:rsidRPr="008A0849">
        <w:t>Leaves [delete if not applicable]</w:t>
      </w:r>
    </w:p>
    <w:p w14:paraId="26ADB9CA" w14:textId="77777777" w:rsidR="00AB7360" w:rsidRPr="008A0849" w:rsidRDefault="00AB7360" w:rsidP="00324EC6">
      <w:pPr>
        <w:tabs>
          <w:tab w:val="left" w:pos="900"/>
        </w:tabs>
      </w:pPr>
      <w:r w:rsidRPr="008A0849">
        <w:t xml:space="preserve">In consideration of prior service, [ ] years will be credited towards the time required to be eligible for your first research and study leave.  </w:t>
      </w:r>
      <w:r w:rsidRPr="008A0849">
        <w:rPr>
          <w:rStyle w:val="Strong"/>
        </w:rPr>
        <w:t>[Insert this section only if a leave other than as specified in the Memorandum of Agreement has been negotiated.]</w:t>
      </w:r>
    </w:p>
    <w:p w14:paraId="71BD33C6" w14:textId="77777777" w:rsidR="00AB7360" w:rsidRPr="008A0849" w:rsidRDefault="00AB7360" w:rsidP="00324EC6">
      <w:pPr>
        <w:pStyle w:val="Heading2nonumber"/>
      </w:pPr>
      <w:r w:rsidRPr="008A0849">
        <w:t>Immigration Issues [delete if not applicable]</w:t>
      </w:r>
    </w:p>
    <w:p w14:paraId="02783862" w14:textId="77777777" w:rsidR="00AB7360" w:rsidRPr="008A0849" w:rsidRDefault="00AB7360" w:rsidP="00324EC6">
      <w:pPr>
        <w:tabs>
          <w:tab w:val="left" w:pos="900"/>
        </w:tabs>
      </w:pPr>
      <w:r w:rsidRPr="008A0849">
        <w:t xml:space="preserve">This offer is subject to compliance with the immigration laws of Canada (as contained in the </w:t>
      </w:r>
      <w:r w:rsidRPr="008A0849">
        <w:rPr>
          <w:rStyle w:val="Emphasis"/>
        </w:rPr>
        <w:t>Immigration and Refugee Protection Act</w:t>
      </w:r>
      <w:r w:rsidRPr="008A0849">
        <w:t xml:space="preserve"> and in the regulations made in pursuance of that </w:t>
      </w:r>
      <w:r w:rsidRPr="008A0849">
        <w:rPr>
          <w:rStyle w:val="Emphasis"/>
        </w:rPr>
        <w:t>Act</w:t>
      </w:r>
      <w:r w:rsidRPr="008A0849">
        <w:t xml:space="preserve">), and it is conditional upon any approvals, authorizations and/or permits in respect of your employment that may be required under that </w:t>
      </w:r>
      <w:r w:rsidRPr="008A0849">
        <w:rPr>
          <w:rStyle w:val="Emphasis"/>
        </w:rPr>
        <w:t>Act</w:t>
      </w:r>
      <w:r w:rsidRPr="008A0849">
        <w:t xml:space="preserve"> or the regulations.</w:t>
      </w:r>
    </w:p>
    <w:p w14:paraId="5917A80B" w14:textId="46C27126" w:rsidR="00AB7360" w:rsidRPr="008A0849" w:rsidRDefault="00AB7360" w:rsidP="00324EC6">
      <w:pPr>
        <w:tabs>
          <w:tab w:val="left" w:pos="900"/>
        </w:tabs>
      </w:pPr>
      <w:r w:rsidRPr="008A0849">
        <w:t xml:space="preserve">Upon your acceptance of our offer of employment, you will receive from the Office of the Vice-President and Provost instructions on how to begin the process for applying for the temporary Work Permit that you will require for your employment with the University and for Permanent </w:t>
      </w:r>
      <w:r w:rsidRPr="008A0849">
        <w:lastRenderedPageBreak/>
        <w:t xml:space="preserve">Resident ("landed immigrant") status in Canada. To assist with both of these processes, we have engaged the Toronto law firm of </w:t>
      </w:r>
      <w:proofErr w:type="spellStart"/>
      <w:r w:rsidRPr="008A0849">
        <w:t>Rekai</w:t>
      </w:r>
      <w:proofErr w:type="spellEnd"/>
      <w:r w:rsidRPr="008A0849">
        <w:t xml:space="preserve"> LLP. As the University's legal counsel, we have instructed the law firm of </w:t>
      </w:r>
      <w:proofErr w:type="spellStart"/>
      <w:r w:rsidRPr="008A0849">
        <w:t>Rekai</w:t>
      </w:r>
      <w:proofErr w:type="spellEnd"/>
      <w:r w:rsidRPr="008A0849">
        <w:t xml:space="preserve"> LLP to assist you with all aspects of both your temporary and permanent immigration law requirements.   Mr. Peter </w:t>
      </w:r>
      <w:proofErr w:type="spellStart"/>
      <w:r w:rsidRPr="008A0849">
        <w:t>Rekai</w:t>
      </w:r>
      <w:proofErr w:type="spellEnd"/>
      <w:r w:rsidRPr="008A0849">
        <w:t xml:space="preserve"> will be in touch with you directly as soon as Service Canada has confirmed </w:t>
      </w:r>
      <w:r w:rsidR="0096295A">
        <w:t>our offer of employment to you.</w:t>
      </w:r>
      <w:r w:rsidRPr="008A0849">
        <w:t xml:space="preserve"> By accepting the services of the law firm of </w:t>
      </w:r>
      <w:proofErr w:type="spellStart"/>
      <w:r w:rsidRPr="008A0849">
        <w:t>Rekai</w:t>
      </w:r>
      <w:proofErr w:type="spellEnd"/>
      <w:r w:rsidRPr="008A0849">
        <w:t xml:space="preserve"> LLP, you consent to the release of any and all information pertaining to your and accompanying family members' admissibility to Canada by </w:t>
      </w:r>
      <w:proofErr w:type="spellStart"/>
      <w:r w:rsidRPr="008A0849">
        <w:t>Rekai</w:t>
      </w:r>
      <w:proofErr w:type="spellEnd"/>
      <w:r w:rsidRPr="008A0849">
        <w:t xml:space="preserve"> LLP to the Office of the Vice-President and Provost of the University of Toronto. This information will be held in strict confidence by the Office of the Vice-President and Provost and will not be released by that Office without your prior written permission.</w:t>
      </w:r>
    </w:p>
    <w:p w14:paraId="7B96A0C9" w14:textId="40B45185" w:rsidR="00AB7360" w:rsidRPr="008A0849" w:rsidRDefault="00AB7360" w:rsidP="00324EC6">
      <w:pPr>
        <w:tabs>
          <w:tab w:val="left" w:pos="900"/>
        </w:tabs>
      </w:pPr>
      <w:r w:rsidRPr="008A0849">
        <w:t xml:space="preserve">The University will be responsible for all of </w:t>
      </w:r>
      <w:proofErr w:type="spellStart"/>
      <w:r w:rsidRPr="008A0849">
        <w:t>Rekai</w:t>
      </w:r>
      <w:proofErr w:type="spellEnd"/>
      <w:r w:rsidRPr="008A0849">
        <w:t xml:space="preserve"> LLP’s routine legal fees (save and except as noted below) and for the Government of Canada’s filing fees for your applications provided you remain employed by the University of Toronto. The University will also be responsible for the fees for an approved language test and/or Educational Credential Assessment (ECA) if required as part of the immigration process. You will be responsible for all other incidental expenses related to your immigration law requirements. This includes, but is not limited to, such incidental matters as the cost of medical examinations, photos, documents, police clearance certificates as well as the expenses to be incurred by </w:t>
      </w:r>
      <w:proofErr w:type="spellStart"/>
      <w:r w:rsidRPr="008A0849">
        <w:t>Rekai</w:t>
      </w:r>
      <w:proofErr w:type="spellEnd"/>
      <w:r w:rsidRPr="008A0849">
        <w:t xml:space="preserve"> LLP on your behalf for couriers, translations, photocopying, </w:t>
      </w:r>
      <w:proofErr w:type="spellStart"/>
      <w:r w:rsidRPr="008A0849">
        <w:t>telecopying</w:t>
      </w:r>
      <w:proofErr w:type="spellEnd"/>
      <w:r w:rsidR="00DA59D0">
        <w:t>,</w:t>
      </w:r>
      <w:r w:rsidRPr="008A0849">
        <w:t xml:space="preserve"> and long distance. Should your employment with the University cease for any reason and you decide to continue with your Application for Permanent Residence (APR) in Canada, you will be resp</w:t>
      </w:r>
      <w:r w:rsidR="00E021DD">
        <w:t>onsible for any remaining fees.</w:t>
      </w:r>
      <w:r w:rsidRPr="008A0849">
        <w:t xml:space="preserve"> Please note that the University of Toronto will not cover legal fees related to </w:t>
      </w:r>
      <w:r w:rsidRPr="008A0849">
        <w:rPr>
          <w:rStyle w:val="Strong"/>
        </w:rPr>
        <w:t>non-routine matters</w:t>
      </w:r>
      <w:r w:rsidRPr="008A0849">
        <w:t xml:space="preserve"> such as overcoming any issue of medical or criminal inadmissibility for you or any accompanying family member(s). If you have any questions about which fees are covered by the University, please contact </w:t>
      </w:r>
      <w:hyperlink r:id="rId17" w:history="1">
        <w:r w:rsidRPr="008A0849">
          <w:rPr>
            <w:rStyle w:val="Hyperlink"/>
          </w:rPr>
          <w:t>faculty.immigration@utoronto.ca</w:t>
        </w:r>
      </w:hyperlink>
      <w:r w:rsidRPr="008A0849">
        <w:t>.</w:t>
      </w:r>
    </w:p>
    <w:p w14:paraId="5CA33A5A" w14:textId="77777777" w:rsidR="00AB7360" w:rsidRPr="008A0849" w:rsidRDefault="00AB7360" w:rsidP="00324EC6">
      <w:pPr>
        <w:tabs>
          <w:tab w:val="left" w:pos="900"/>
        </w:tabs>
      </w:pPr>
      <w:r w:rsidRPr="008A0849">
        <w:t xml:space="preserve">The University considers it to be a term of our offer of employment to you that you cooperate fully with the law firm of </w:t>
      </w:r>
      <w:proofErr w:type="spellStart"/>
      <w:r w:rsidRPr="008A0849">
        <w:t>Rekai</w:t>
      </w:r>
      <w:proofErr w:type="spellEnd"/>
      <w:r w:rsidRPr="008A0849">
        <w:t xml:space="preserve"> LLP and promptly deal with any requests that they may make of you. Specifically, because the confirmation of employment (positive Labour Market Impact Assessment) will only be valid for a limited period and there is no arrangement in place with Service Canada for it to be renewed, it is vital that all reasonable steps be taken to complete your permanent immigration to Canada within the timeframe advised by </w:t>
      </w:r>
      <w:proofErr w:type="spellStart"/>
      <w:r w:rsidRPr="008A0849">
        <w:t>Rekai</w:t>
      </w:r>
      <w:proofErr w:type="spellEnd"/>
      <w:r w:rsidRPr="008A0849">
        <w:t xml:space="preserve"> LLP. In addition, several Canadian granting agencies only fund grants to Canadian citizens and permanent residents of Canada and, for that reason, it also may be in your best professional interests to cooperate with the law firm of </w:t>
      </w:r>
      <w:proofErr w:type="spellStart"/>
      <w:r w:rsidRPr="008A0849">
        <w:t>Rekai</w:t>
      </w:r>
      <w:proofErr w:type="spellEnd"/>
      <w:r w:rsidRPr="008A0849">
        <w:t xml:space="preserve"> LLP in completing the application process as expeditiously as possible.</w:t>
      </w:r>
    </w:p>
    <w:p w14:paraId="7D0267EE" w14:textId="67E8E545" w:rsidR="00AB7360" w:rsidRPr="008A0849" w:rsidRDefault="00AB7360" w:rsidP="00324EC6">
      <w:pPr>
        <w:tabs>
          <w:tab w:val="left" w:pos="900"/>
        </w:tabs>
      </w:pPr>
      <w:r w:rsidRPr="008A0849">
        <w:lastRenderedPageBreak/>
        <w:t>As part of the process of applying for permanent residency in Canada, and, in some cases, as part of the non-immigrant visa process, as well, it will be necessary for you and your accompanying family members to undergo medical examinations and to provide information with respect to criminal and security background investigations that are conducted by Citizenship and Immigration Canada (CIC) on all applicants. These routine immigration procedures are conducted with a view to ensuring that there are no grounds upon which you, or any member of your accompanying family, could be determined to be an “inadmissible person” for immigration to Canada. If you require clarification</w:t>
      </w:r>
      <w:r w:rsidR="00590A78" w:rsidRPr="008A0849">
        <w:t xml:space="preserve"> or if you have any questions</w:t>
      </w:r>
      <w:r w:rsidRPr="008A0849">
        <w:t xml:space="preserve"> regarding these matters</w:t>
      </w:r>
      <w:r w:rsidR="00590A78" w:rsidRPr="008A0849">
        <w:t>,</w:t>
      </w:r>
      <w:r w:rsidRPr="008A0849">
        <w:t xml:space="preserve"> you will be able to discuss them with one of the partners at </w:t>
      </w:r>
      <w:proofErr w:type="spellStart"/>
      <w:r w:rsidRPr="008A0849">
        <w:t>Rekai</w:t>
      </w:r>
      <w:proofErr w:type="spellEnd"/>
      <w:r w:rsidRPr="008A0849">
        <w:t xml:space="preserve"> LLP, but only after you have been contacted by the firm. </w:t>
      </w:r>
    </w:p>
    <w:p w14:paraId="605A2279" w14:textId="268530D1" w:rsidR="00AB7360" w:rsidRPr="008A0849" w:rsidRDefault="00AB7360" w:rsidP="00324EC6">
      <w:pPr>
        <w:tabs>
          <w:tab w:val="left" w:pos="900"/>
        </w:tabs>
      </w:pPr>
      <w:r w:rsidRPr="008A0849">
        <w:t xml:space="preserve">Upon receipt of your Work Permit, it is necessary that you obtain a Social Insurance Number (SIN). For </w:t>
      </w:r>
      <w:r w:rsidR="00F31DE0" w:rsidRPr="008A0849">
        <w:t>i</w:t>
      </w:r>
      <w:r w:rsidRPr="008A0849">
        <w:t xml:space="preserve">nformation on how to obtain a new SIN, please refer to the Federal Government's website: </w:t>
      </w:r>
      <w:hyperlink r:id="rId18" w:history="1">
        <w:r w:rsidR="00CB48B0" w:rsidRPr="008A0849">
          <w:rPr>
            <w:rStyle w:val="Hyperlink"/>
          </w:rPr>
          <w:t>www.canada.ca/en/employment-social-development/services/sin.html</w:t>
        </w:r>
      </w:hyperlink>
      <w:r w:rsidRPr="008A0849">
        <w:t xml:space="preserve">. </w:t>
      </w:r>
    </w:p>
    <w:p w14:paraId="7CE97676" w14:textId="77777777" w:rsidR="00AB7360" w:rsidRPr="008A0849" w:rsidRDefault="00AB7360" w:rsidP="00324EC6">
      <w:pPr>
        <w:pStyle w:val="Heading2nonumber"/>
      </w:pPr>
      <w:r w:rsidRPr="008A0849">
        <w:t>Health Insurance [delete if not applicable]</w:t>
      </w:r>
    </w:p>
    <w:p w14:paraId="23728C66" w14:textId="6E8A8E51" w:rsidR="00AB7360" w:rsidRPr="008A0849" w:rsidRDefault="00AB7360" w:rsidP="00324EC6">
      <w:pPr>
        <w:tabs>
          <w:tab w:val="left" w:pos="900"/>
        </w:tabs>
      </w:pPr>
      <w:r w:rsidRPr="008A0849">
        <w:t xml:space="preserve">The provincial health insurance plan (OHIP) normally commences coverage three months after application. You should apply for this coverage on your arrival to ensure there is no further delay. (Please refer to the Faculty Relocation Service website: </w:t>
      </w:r>
      <w:hyperlink r:id="rId19" w:history="1">
        <w:r w:rsidRPr="008A0849">
          <w:rPr>
            <w:rStyle w:val="Hyperlink"/>
          </w:rPr>
          <w:t>www.facultyrelocation.utoronto.ca</w:t>
        </w:r>
      </w:hyperlink>
      <w:r w:rsidRPr="008A0849">
        <w:t xml:space="preserve"> for more information). If your existing health insurance coverage does not apply to this waiting period, then it is compulsory that you apply immediately for the University's Health Insurance Plan (UHIP; </w:t>
      </w:r>
      <w:hyperlink r:id="rId20" w:history="1">
        <w:r w:rsidRPr="008A0849">
          <w:rPr>
            <w:rStyle w:val="Hyperlink"/>
          </w:rPr>
          <w:t>www.uhip.ca</w:t>
        </w:r>
      </w:hyperlink>
      <w:r w:rsidRPr="008A0849">
        <w:t>). For further information</w:t>
      </w:r>
      <w:r w:rsidR="00AB5882" w:rsidRPr="008A0849">
        <w:t>,</w:t>
      </w:r>
      <w:r w:rsidRPr="008A0849">
        <w:t xml:space="preserve"> please </w:t>
      </w:r>
      <w:r w:rsidR="00F2432D" w:rsidRPr="00864991">
        <w:t>contact UTM’s Human Resources office at (905) 828-3935.</w:t>
      </w:r>
    </w:p>
    <w:p w14:paraId="7C80DE85" w14:textId="77777777" w:rsidR="00AB7360" w:rsidRPr="008A0849" w:rsidRDefault="00AB7360" w:rsidP="00324EC6">
      <w:pPr>
        <w:pStyle w:val="Heading2nonumber"/>
      </w:pPr>
      <w:r w:rsidRPr="008A0849">
        <w:t>Accessibility</w:t>
      </w:r>
    </w:p>
    <w:p w14:paraId="76E5A0BB" w14:textId="13E79FFC" w:rsidR="00AB7360" w:rsidRPr="008A0849" w:rsidRDefault="00AB7360" w:rsidP="00324EC6">
      <w:pPr>
        <w:tabs>
          <w:tab w:val="left" w:pos="900"/>
        </w:tabs>
      </w:pPr>
      <w:r w:rsidRPr="008A0849">
        <w:t xml:space="preserve">The University has a number of programs and services available to employees who have need of accommodation due to a disability through its </w:t>
      </w:r>
      <w:r w:rsidR="00D45584" w:rsidRPr="008A0849">
        <w:t>Health &amp; Well-</w:t>
      </w:r>
      <w:r w:rsidR="00CB48B0" w:rsidRPr="008A0849">
        <w:t>B</w:t>
      </w:r>
      <w:r w:rsidR="00D45584" w:rsidRPr="008A0849">
        <w:t>eing Programs &amp;</w:t>
      </w:r>
      <w:r w:rsidRPr="008A0849">
        <w:t xml:space="preserve"> Services (</w:t>
      </w:r>
      <w:hyperlink r:id="rId21" w:history="1">
        <w:r w:rsidR="00301042">
          <w:rPr>
            <w:rStyle w:val="Hyperlink"/>
          </w:rPr>
          <w:t>hrandequity.utoronto.ca/culture/wellness/</w:t>
        </w:r>
      </w:hyperlink>
      <w:r w:rsidRPr="008A0849">
        <w:t xml:space="preserve">). A description of the accommodation process is available in the </w:t>
      </w:r>
      <w:r w:rsidR="00C524A1" w:rsidRPr="00540D7E">
        <w:rPr>
          <w:rStyle w:val="Emphasis"/>
        </w:rPr>
        <w:t xml:space="preserve">Accommodation </w:t>
      </w:r>
      <w:r w:rsidR="00C524A1">
        <w:rPr>
          <w:rStyle w:val="Emphasis"/>
        </w:rPr>
        <w:t xml:space="preserve">Guidelines </w:t>
      </w:r>
      <w:r w:rsidR="00C524A1" w:rsidRPr="00540D7E">
        <w:rPr>
          <w:rStyle w:val="Emphasis"/>
        </w:rPr>
        <w:t>for Employees with Disabilities</w:t>
      </w:r>
      <w:r w:rsidR="00C524A1" w:rsidRPr="00540D7E">
        <w:t xml:space="preserve">, which may be found at </w:t>
      </w:r>
      <w:hyperlink r:id="rId22" w:history="1">
        <w:r w:rsidR="00301042">
          <w:rPr>
            <w:rStyle w:val="Hyperlink"/>
          </w:rPr>
          <w:t>hrandequity.utoronto.ca/inclusion/accessibility/accommodation/accommodation-guidelines-for-employees-with-disabilities/</w:t>
        </w:r>
      </w:hyperlink>
      <w:r w:rsidRPr="008A0849">
        <w:t>.</w:t>
      </w:r>
    </w:p>
    <w:p w14:paraId="62540F0E" w14:textId="49626731" w:rsidR="00AB7360" w:rsidRPr="008A0849" w:rsidRDefault="00AB7360" w:rsidP="00324EC6">
      <w:pPr>
        <w:tabs>
          <w:tab w:val="left" w:pos="900"/>
        </w:tabs>
      </w:pPr>
      <w:r w:rsidRPr="008A0849">
        <w:t>In the event that you have a disability that would impact upon how you would respond to an emergency in the workplace (e.g., situations requiring evacuation), you should contact Health &amp; Well-</w:t>
      </w:r>
      <w:r w:rsidR="00CB48B0" w:rsidRPr="008A0849">
        <w:t>B</w:t>
      </w:r>
      <w:r w:rsidRPr="008A0849">
        <w:t xml:space="preserve">eing Programs &amp; Services at </w:t>
      </w:r>
      <w:r w:rsidR="0096295A" w:rsidRPr="0096295A">
        <w:t>416.946.0537</w:t>
      </w:r>
      <w:r w:rsidRPr="008A0849">
        <w:t xml:space="preserve"> as soon as possible so that you can be provided with information regarding an individualized emergency response plan.</w:t>
      </w:r>
      <w:r w:rsidRPr="008A0849">
        <w:tab/>
      </w:r>
    </w:p>
    <w:p w14:paraId="4DD2864B" w14:textId="77777777" w:rsidR="00AB7360" w:rsidRPr="008A0849" w:rsidRDefault="00AB7360" w:rsidP="00324EC6">
      <w:pPr>
        <w:pStyle w:val="Heading2nonumber"/>
      </w:pPr>
      <w:r w:rsidRPr="008A0849">
        <w:lastRenderedPageBreak/>
        <w:t>Policies and Procedures</w:t>
      </w:r>
    </w:p>
    <w:p w14:paraId="2076CEE7" w14:textId="77777777" w:rsidR="00AB7360" w:rsidRPr="008A0849" w:rsidRDefault="00AB7360" w:rsidP="00324EC6">
      <w:pPr>
        <w:tabs>
          <w:tab w:val="left" w:pos="900"/>
        </w:tabs>
      </w:pPr>
      <w:r w:rsidRPr="008A0849">
        <w:t xml:space="preserve">You are subject to and bound by all applicable Faculty and University policies and procedures.  </w:t>
      </w:r>
    </w:p>
    <w:p w14:paraId="08EC3DBA" w14:textId="179FFA28" w:rsidR="00AB7360" w:rsidRPr="008A0849" w:rsidRDefault="00AB7360" w:rsidP="00324EC6">
      <w:pPr>
        <w:tabs>
          <w:tab w:val="left" w:pos="900"/>
        </w:tabs>
      </w:pPr>
      <w:r w:rsidRPr="008A0849">
        <w:t>Attached for your information are the following policies and agreement</w:t>
      </w:r>
      <w:r w:rsidR="007C57C4" w:rsidRPr="008A0849">
        <w:t>s</w:t>
      </w:r>
      <w:r w:rsidRPr="008A0849">
        <w:t>:</w:t>
      </w:r>
    </w:p>
    <w:p w14:paraId="6A08B8D2" w14:textId="77777777" w:rsidR="00AB7360" w:rsidRPr="008A0849" w:rsidRDefault="00AB7360" w:rsidP="00324EC6">
      <w:pPr>
        <w:pStyle w:val="ListBullet"/>
      </w:pPr>
      <w:r w:rsidRPr="008A0849">
        <w:t xml:space="preserve">the University’s </w:t>
      </w:r>
      <w:r w:rsidRPr="008A0849">
        <w:rPr>
          <w:rStyle w:val="Emphasis"/>
        </w:rPr>
        <w:t>Policy and Procedures on Academic Appointments</w:t>
      </w:r>
      <w:r w:rsidRPr="008A0849">
        <w:t xml:space="preserve"> </w:t>
      </w:r>
    </w:p>
    <w:p w14:paraId="6BA74F97" w14:textId="77777777" w:rsidR="00AB7360" w:rsidRPr="008A0849" w:rsidRDefault="00AB7360" w:rsidP="00324EC6">
      <w:pPr>
        <w:pStyle w:val="ListBullet"/>
      </w:pPr>
      <w:r w:rsidRPr="008A0849">
        <w:t xml:space="preserve">the </w:t>
      </w:r>
      <w:r w:rsidRPr="008A0849">
        <w:rPr>
          <w:rStyle w:val="Emphasis"/>
        </w:rPr>
        <w:t>Memorandum of Agreement between the Governing Council of the University of Toronto and the University of Toronto Faculty Association</w:t>
      </w:r>
      <w:r w:rsidRPr="008A0849">
        <w:t xml:space="preserve"> </w:t>
      </w:r>
    </w:p>
    <w:p w14:paraId="0CA54500" w14:textId="77777777" w:rsidR="00AB7360" w:rsidRPr="008A0849" w:rsidRDefault="00AB7360" w:rsidP="00324EC6">
      <w:pPr>
        <w:pStyle w:val="ListBullet"/>
      </w:pPr>
      <w:r w:rsidRPr="008A0849">
        <w:t xml:space="preserve">the </w:t>
      </w:r>
      <w:r w:rsidRPr="008A0849">
        <w:rPr>
          <w:rStyle w:val="Emphasis"/>
        </w:rPr>
        <w:t>Code of Behaviour on Academic Matters</w:t>
      </w:r>
      <w:r w:rsidRPr="008A0849">
        <w:t xml:space="preserve"> </w:t>
      </w:r>
    </w:p>
    <w:p w14:paraId="3B54CF44" w14:textId="77777777" w:rsidR="00AB7360" w:rsidRPr="008A0849" w:rsidRDefault="00AB7360" w:rsidP="00324EC6">
      <w:pPr>
        <w:pStyle w:val="ListBullet"/>
      </w:pPr>
      <w:r w:rsidRPr="008A0849">
        <w:t xml:space="preserve">the </w:t>
      </w:r>
      <w:r w:rsidRPr="008A0849">
        <w:rPr>
          <w:rStyle w:val="Emphasis"/>
        </w:rPr>
        <w:t>Policy and Procedures Governing Promotions</w:t>
      </w:r>
      <w:r w:rsidRPr="008A0849">
        <w:t xml:space="preserve"> </w:t>
      </w:r>
    </w:p>
    <w:p w14:paraId="3FA03B5F" w14:textId="77777777" w:rsidR="00AB7360" w:rsidRPr="008A0849" w:rsidRDefault="00AB7360" w:rsidP="00324EC6">
      <w:pPr>
        <w:pStyle w:val="ListBullet"/>
      </w:pPr>
      <w:r w:rsidRPr="008A0849">
        <w:t xml:space="preserve">the </w:t>
      </w:r>
      <w:r w:rsidRPr="008A0849">
        <w:rPr>
          <w:rStyle w:val="Emphasis"/>
        </w:rPr>
        <w:t>Policy on Conflict of Interest: Academic Staff</w:t>
      </w:r>
      <w:r w:rsidRPr="008A0849">
        <w:t xml:space="preserve"> </w:t>
      </w:r>
    </w:p>
    <w:p w14:paraId="011272EC" w14:textId="77777777" w:rsidR="00AB7360" w:rsidRPr="008A0849" w:rsidRDefault="00AB7360" w:rsidP="00324EC6">
      <w:pPr>
        <w:pStyle w:val="ListBullet"/>
      </w:pPr>
      <w:proofErr w:type="gramStart"/>
      <w:r w:rsidRPr="008A0849">
        <w:t>the</w:t>
      </w:r>
      <w:proofErr w:type="gramEnd"/>
      <w:r w:rsidRPr="008A0849">
        <w:t xml:space="preserve"> </w:t>
      </w:r>
      <w:r w:rsidRPr="008A0849">
        <w:rPr>
          <w:rStyle w:val="Emphasis"/>
        </w:rPr>
        <w:t>University of Toronto Workload Policy and Procedures for Faculty and Librarians</w:t>
      </w:r>
      <w:r w:rsidRPr="008A0849">
        <w:t>, and the workload policy of your Department.</w:t>
      </w:r>
    </w:p>
    <w:p w14:paraId="3BCF7F2F" w14:textId="77777777" w:rsidR="00AB7360" w:rsidRPr="008A0849" w:rsidRDefault="00AB7360" w:rsidP="00324EC6"/>
    <w:p w14:paraId="224EF170" w14:textId="77777777" w:rsidR="00AB7360" w:rsidRPr="008A0849" w:rsidRDefault="00AB7360" w:rsidP="00324EC6">
      <w:r w:rsidRPr="008A0849">
        <w:t>In addition, please review and familiarize yourself with the following:</w:t>
      </w:r>
    </w:p>
    <w:p w14:paraId="49911FF1" w14:textId="66D4A6C7" w:rsidR="00AB7360" w:rsidRPr="008A0849" w:rsidRDefault="00AB7360" w:rsidP="00324EC6">
      <w:pPr>
        <w:pStyle w:val="ListBullet"/>
      </w:pPr>
      <w:r w:rsidRPr="008A0849">
        <w:rPr>
          <w:rStyle w:val="Emphasis"/>
        </w:rPr>
        <w:t>Policy on Ethical Conduct in Research</w:t>
      </w:r>
      <w:r w:rsidRPr="008A0849">
        <w:t xml:space="preserve">   </w:t>
      </w:r>
      <w:hyperlink r:id="rId23" w:history="1">
        <w:r w:rsidR="00E72FA4">
          <w:rPr>
            <w:rStyle w:val="Hyperlink"/>
          </w:rPr>
          <w:t>governingcouncil.utoronto.ca/secretariat/policies/research-policy-ethical-conduct-march-28-1991</w:t>
        </w:r>
      </w:hyperlink>
    </w:p>
    <w:p w14:paraId="5F833A9D" w14:textId="3B7EEAB6" w:rsidR="00AB7360" w:rsidRPr="008A0849" w:rsidRDefault="00AB7360" w:rsidP="00324EC6">
      <w:pPr>
        <w:pStyle w:val="ListBullet"/>
      </w:pPr>
      <w:r w:rsidRPr="008A0849">
        <w:rPr>
          <w:rStyle w:val="Emphasis"/>
        </w:rPr>
        <w:t>Policy on Research Involving Human Subjects</w:t>
      </w:r>
      <w:r w:rsidRPr="008A0849">
        <w:t xml:space="preserve"> </w:t>
      </w:r>
      <w:hyperlink r:id="rId24" w:history="1">
        <w:r w:rsidR="00E72FA4">
          <w:rPr>
            <w:rStyle w:val="Hyperlink"/>
          </w:rPr>
          <w:t>governingcouncil.utoronto.ca/secretariat/policies/human-subjects-policy-research-involving-june-29-2000</w:t>
        </w:r>
      </w:hyperlink>
    </w:p>
    <w:p w14:paraId="486C7F9D" w14:textId="6A213406" w:rsidR="00AB7360" w:rsidRPr="008A0849" w:rsidRDefault="00AB7360" w:rsidP="00324EC6">
      <w:pPr>
        <w:pStyle w:val="ListBullet"/>
      </w:pPr>
      <w:r w:rsidRPr="008A0849">
        <w:rPr>
          <w:rStyle w:val="Emphasis"/>
        </w:rPr>
        <w:t>University Assessment and Grading Practices Policy</w:t>
      </w:r>
      <w:r w:rsidRPr="008A0849">
        <w:t xml:space="preserve"> </w:t>
      </w:r>
      <w:hyperlink r:id="rId25" w:history="1">
        <w:r w:rsidR="00E72FA4">
          <w:rPr>
            <w:rStyle w:val="Hyperlink"/>
          </w:rPr>
          <w:t>governingcouncil.utoronto.ca/secretariat/policies/grading-practices-policy-university-assessment-and-january-26-2012</w:t>
        </w:r>
      </w:hyperlink>
    </w:p>
    <w:p w14:paraId="05687711" w14:textId="16DD0524" w:rsidR="00AB7360" w:rsidRPr="008A0849" w:rsidRDefault="00AB7360" w:rsidP="00324EC6">
      <w:pPr>
        <w:pStyle w:val="ListBullet"/>
      </w:pPr>
      <w:r w:rsidRPr="008A0849">
        <w:rPr>
          <w:rStyle w:val="Emphasis"/>
        </w:rPr>
        <w:t xml:space="preserve">Framework to Address Allegations of Research Misconduct </w:t>
      </w:r>
      <w:hyperlink r:id="rId26" w:history="1">
        <w:r w:rsidR="000A30DA">
          <w:rPr>
            <w:rStyle w:val="Hyperlink"/>
          </w:rPr>
          <w:t>research.utoronto.ca/media/48/download</w:t>
        </w:r>
      </w:hyperlink>
    </w:p>
    <w:p w14:paraId="13AC702A" w14:textId="022EDFBE" w:rsidR="00AB7360" w:rsidRPr="008A0849" w:rsidRDefault="00AB7360" w:rsidP="00324EC6">
      <w:pPr>
        <w:pStyle w:val="ListBullet"/>
      </w:pPr>
      <w:r w:rsidRPr="008A0849">
        <w:rPr>
          <w:rStyle w:val="Emphasis"/>
        </w:rPr>
        <w:t>Publication Policy</w:t>
      </w:r>
      <w:r w:rsidRPr="008A0849">
        <w:t xml:space="preserve">  </w:t>
      </w:r>
      <w:hyperlink r:id="rId27" w:history="1">
        <w:r w:rsidR="00E72FA4">
          <w:rPr>
            <w:rStyle w:val="Hyperlink"/>
          </w:rPr>
          <w:t>governingcouncil.utoronto.ca/secretariat/policies/publication-policy-may-30-2007</w:t>
        </w:r>
      </w:hyperlink>
    </w:p>
    <w:p w14:paraId="15E53C4E" w14:textId="14ED9F46" w:rsidR="00AB7360" w:rsidRPr="008A0849" w:rsidRDefault="004330E0" w:rsidP="008664B1">
      <w:pPr>
        <w:pStyle w:val="ListBullet"/>
      </w:pPr>
      <w:r>
        <w:rPr>
          <w:rStyle w:val="Emphasis"/>
        </w:rPr>
        <w:t xml:space="preserve">Statement on </w:t>
      </w:r>
      <w:r w:rsidR="00E72FA4">
        <w:rPr>
          <w:rStyle w:val="Emphasis"/>
        </w:rPr>
        <w:t xml:space="preserve">Protection of </w:t>
      </w:r>
      <w:r w:rsidR="00AB7360" w:rsidRPr="008A0849">
        <w:rPr>
          <w:rStyle w:val="Emphasis"/>
        </w:rPr>
        <w:t>Freedom of Speech</w:t>
      </w:r>
      <w:r w:rsidR="00AB7360" w:rsidRPr="008A0849">
        <w:t xml:space="preserve"> </w:t>
      </w:r>
      <w:hyperlink r:id="rId28" w:history="1">
        <w:r w:rsidR="00E72FA4">
          <w:rPr>
            <w:rStyle w:val="Hyperlink"/>
          </w:rPr>
          <w:t>governingcouncil.utoronto.ca/secretariat/policies/freedom-speech-statement-protection-may-28-1992</w:t>
        </w:r>
      </w:hyperlink>
    </w:p>
    <w:p w14:paraId="67CA7CCB" w14:textId="77777777" w:rsidR="00E72FA4" w:rsidRPr="00E72FA4" w:rsidRDefault="00E72FA4" w:rsidP="00E72FA4"/>
    <w:p w14:paraId="16473C7A" w14:textId="6324B1A5" w:rsidR="00AB7360" w:rsidRPr="008A0849" w:rsidRDefault="00AB7360" w:rsidP="00324EC6">
      <w:r w:rsidRPr="008A0849">
        <w:t xml:space="preserve">These and other applicable University policies can be found at </w:t>
      </w:r>
      <w:hyperlink r:id="rId29" w:history="1">
        <w:r w:rsidR="00CB48B0" w:rsidRPr="008A0849">
          <w:rPr>
            <w:rStyle w:val="Hyperlink"/>
          </w:rPr>
          <w:t>www.governingcouncil.utoronto.ca/Governing_Council/policies.htm</w:t>
        </w:r>
      </w:hyperlink>
      <w:r w:rsidRPr="008A0849">
        <w:t xml:space="preserve">. Some of the policies that </w:t>
      </w:r>
      <w:r w:rsidRPr="008A0849">
        <w:lastRenderedPageBreak/>
        <w:t xml:space="preserve">govern aspects of your rights and obligations as a faculty member can be found at </w:t>
      </w:r>
      <w:hyperlink r:id="rId30" w:anchor="section_2" w:history="1">
        <w:r w:rsidR="0096295A" w:rsidRPr="001937FB">
          <w:rPr>
            <w:rStyle w:val="Hyperlink"/>
          </w:rPr>
          <w:t>www.provost.utoronto.ca/planning-policy/#section_2</w:t>
        </w:r>
      </w:hyperlink>
      <w:r w:rsidRPr="008A0849">
        <w:t>.</w:t>
      </w:r>
      <w:r w:rsidR="003C16F4" w:rsidRPr="00DA59D0">
        <w:t xml:space="preserve"> </w:t>
      </w:r>
    </w:p>
    <w:p w14:paraId="45E7DA61" w14:textId="56B2A769" w:rsidR="00AB7360" w:rsidRPr="008A0849" w:rsidRDefault="00AB7360" w:rsidP="00324EC6">
      <w:r w:rsidRPr="008A0849">
        <w:t xml:space="preserve">The </w:t>
      </w:r>
      <w:hyperlink r:id="rId31" w:history="1">
        <w:r w:rsidR="00CB48B0" w:rsidRPr="008A0849">
          <w:rPr>
            <w:rStyle w:val="HyperlinkEmphasisChar"/>
          </w:rPr>
          <w:t>Manual of Staff Policies for Academics and Librarians</w:t>
        </w:r>
      </w:hyperlink>
      <w:r w:rsidRPr="008A0849">
        <w:t xml:space="preserve"> is available on the Human Resources website. Some of these policies are subject to negotiation with the University of Toronto Faculty Association, and others may be changed directly by the University. All full-time University of Toronto academic appointments are subject to these provisions and you should familiarize yourself with them.</w:t>
      </w:r>
    </w:p>
    <w:p w14:paraId="6AB18EB5" w14:textId="35C235EA" w:rsidR="00AB7360" w:rsidRPr="008A0849" w:rsidRDefault="00AB7360" w:rsidP="00324EC6">
      <w:r w:rsidRPr="008A0849">
        <w:t>You will also be subject to and bound by University policies of general application and their related guidelines. For convenience, a partial list of policies, those applicable to all employees</w:t>
      </w:r>
      <w:r w:rsidR="00555A43" w:rsidRPr="008A0849">
        <w:t>,</w:t>
      </w:r>
      <w:r w:rsidRPr="008A0849">
        <w:t xml:space="preserve"> and related guidelines can be found on the Huma</w:t>
      </w:r>
      <w:r w:rsidR="0096295A">
        <w:t>n Resources &amp; Equity website at</w:t>
      </w:r>
      <w:r w:rsidR="00301042" w:rsidRPr="007C1241">
        <w:t xml:space="preserve"> </w:t>
      </w:r>
      <w:hyperlink r:id="rId32" w:history="1">
        <w:r w:rsidR="00301042">
          <w:rPr>
            <w:rStyle w:val="Hyperlink"/>
          </w:rPr>
          <w:t>hrandequity.utoronto.ca/policies/</w:t>
        </w:r>
      </w:hyperlink>
      <w:r w:rsidRPr="008A0849">
        <w:t>. Printed versions will be provided upon request.</w:t>
      </w:r>
    </w:p>
    <w:p w14:paraId="38BC9CEE" w14:textId="3061C247" w:rsidR="00AB7360" w:rsidRPr="008A0849" w:rsidRDefault="00AB7360" w:rsidP="00324EC6">
      <w:r w:rsidRPr="008A0849">
        <w:t>The law requires the Employment Standards Act Poster to be provided to all employees; it is avail</w:t>
      </w:r>
      <w:r w:rsidR="00CB48B0" w:rsidRPr="008A0849">
        <w:t xml:space="preserve">able </w:t>
      </w:r>
      <w:r w:rsidRPr="008A0849">
        <w:t xml:space="preserve">at </w:t>
      </w:r>
      <w:hyperlink r:id="rId33" w:anchor="section-1" w:history="1">
        <w:r w:rsidR="001F550F" w:rsidRPr="00E55374">
          <w:rPr>
            <w:rStyle w:val="Hyperlink"/>
          </w:rPr>
          <w:t>www.ontario.ca/page/posters-required-workplace#section-1</w:t>
        </w:r>
      </w:hyperlink>
      <w:r w:rsidRPr="008A0849">
        <w:t xml:space="preserve">. This poster describes the minimum rights and obligations contained in the </w:t>
      </w:r>
      <w:r w:rsidRPr="008A0849">
        <w:rPr>
          <w:rStyle w:val="Emphasis"/>
        </w:rPr>
        <w:t>Employment Standards Act</w:t>
      </w:r>
      <w:r w:rsidRPr="008A0849">
        <w:t xml:space="preserve">. Please note that in many respects this offer of employment exceeds the minimum requirements set out in the </w:t>
      </w:r>
      <w:r w:rsidRPr="008A0849">
        <w:rPr>
          <w:rStyle w:val="Emphasis"/>
        </w:rPr>
        <w:t>Act</w:t>
      </w:r>
      <w:r w:rsidRPr="008A0849">
        <w:t>.</w:t>
      </w:r>
    </w:p>
    <w:p w14:paraId="36DD34DF" w14:textId="058B2CAF" w:rsidR="00AB7360" w:rsidRPr="008A0849" w:rsidRDefault="00AB7360" w:rsidP="00324EC6">
      <w:r w:rsidRPr="008A0849">
        <w:t xml:space="preserve">You should pay particular attention to those policies which confirm the University’s commitment to, and your obligation to support, a workplace that is free from discrimination and harassment as set out in the </w:t>
      </w:r>
      <w:r w:rsidRPr="008A0849">
        <w:rPr>
          <w:rStyle w:val="Emphasis"/>
        </w:rPr>
        <w:t>Human Rights Code</w:t>
      </w:r>
      <w:r w:rsidRPr="008A0849">
        <w:t xml:space="preserve">, is safe as set out in the </w:t>
      </w:r>
      <w:r w:rsidRPr="008A0849">
        <w:rPr>
          <w:rStyle w:val="Emphasis"/>
        </w:rPr>
        <w:t>Occupational Health and Safety Act</w:t>
      </w:r>
      <w:r w:rsidRPr="008A0849">
        <w:t xml:space="preserve"> and that respects the University’s commitment to equity and to workplace civility. </w:t>
      </w:r>
    </w:p>
    <w:p w14:paraId="5F4223C1" w14:textId="77777777" w:rsidR="00AB7360" w:rsidRPr="008A0849" w:rsidRDefault="00AB7360" w:rsidP="00324EC6">
      <w:r w:rsidRPr="008A0849">
        <w:t>All of the applicable policies may be amended and/or new policies may be introduced from time to time which will become binding terms of your employment contract with the University.</w:t>
      </w:r>
    </w:p>
    <w:p w14:paraId="07628DAA" w14:textId="77777777" w:rsidR="00AB7360" w:rsidRPr="008A0849" w:rsidRDefault="00AB7360" w:rsidP="00324EC6">
      <w:r w:rsidRPr="008A0849">
        <w:t xml:space="preserve">Please carefully review all applicable policies and guidelines. By signing this letter you acknowledge that you understand them and agree to be bound by them. If you have questions about any of these policies or guidelines, you should raise them with HR before accepting this offer. </w:t>
      </w:r>
    </w:p>
    <w:p w14:paraId="6AE17178" w14:textId="77777777" w:rsidR="00AB7360" w:rsidRPr="008A0849" w:rsidRDefault="00AB7360" w:rsidP="00324EC6">
      <w:pPr>
        <w:pStyle w:val="Heading2nonumber"/>
      </w:pPr>
      <w:r w:rsidRPr="008A0849">
        <w:t>Entire Agreement</w:t>
      </w:r>
    </w:p>
    <w:p w14:paraId="329D4DBB" w14:textId="09040CE9" w:rsidR="00F319C3" w:rsidRPr="00063AE3" w:rsidRDefault="00AB7360" w:rsidP="00063AE3">
      <w:r w:rsidRPr="008A0849">
        <w:t>This summary of the details of the offer of employment, the documents referred to in it and the covering letter together set out the entire agreement between you and the University. There are no representations, warranties</w:t>
      </w:r>
      <w:r w:rsidR="00220D5C">
        <w:t>,</w:t>
      </w:r>
      <w:r w:rsidRPr="008A0849">
        <w:t xml:space="preserve"> or other commitments apart fr</w:t>
      </w:r>
      <w:r w:rsidR="002E34C5">
        <w:t>om these documents.</w:t>
      </w:r>
    </w:p>
    <w:sectPr w:rsidR="00F319C3" w:rsidRPr="00063AE3" w:rsidSect="00E021DD">
      <w:footerReference w:type="default" r:id="rId34"/>
      <w:footerReference w:type="first" r:id="rId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F82F2" w14:textId="77777777" w:rsidR="00EC07EA" w:rsidRDefault="00EC07EA" w:rsidP="00EC07EA">
      <w:pPr>
        <w:spacing w:after="0" w:line="240" w:lineRule="auto"/>
      </w:pPr>
      <w:r>
        <w:separator/>
      </w:r>
    </w:p>
  </w:endnote>
  <w:endnote w:type="continuationSeparator" w:id="0">
    <w:p w14:paraId="54EAE680" w14:textId="77777777" w:rsidR="00EC07EA" w:rsidRDefault="00EC07EA" w:rsidP="00EC0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362506"/>
      <w:docPartObj>
        <w:docPartGallery w:val="Page Numbers (Bottom of Page)"/>
        <w:docPartUnique/>
      </w:docPartObj>
    </w:sdtPr>
    <w:sdtEndPr>
      <w:rPr>
        <w:noProof/>
      </w:rPr>
    </w:sdtEndPr>
    <w:sdtContent>
      <w:p w14:paraId="4D4CF010" w14:textId="6FCE7823" w:rsidR="00EC07EA" w:rsidRPr="00EC07EA" w:rsidRDefault="00EC07EA" w:rsidP="00E021DD">
        <w:pPr>
          <w:pStyle w:val="Footer"/>
          <w:rPr>
            <w:noProof/>
            <w:sz w:val="24"/>
          </w:rPr>
        </w:pPr>
        <w:r>
          <w:t>Initial________</w:t>
        </w:r>
        <w:r>
          <w:tab/>
          <w:t xml:space="preserve">Updated </w:t>
        </w:r>
        <w:r w:rsidR="00402FAD">
          <w:t xml:space="preserve">August 2020 </w:t>
        </w:r>
        <w:r>
          <w:tab/>
          <w:t xml:space="preserve">Page </w:t>
        </w:r>
        <w:r>
          <w:fldChar w:fldCharType="begin"/>
        </w:r>
        <w:r>
          <w:instrText xml:space="preserve"> PAGE   \* MERGEFORMAT </w:instrText>
        </w:r>
        <w:r>
          <w:fldChar w:fldCharType="separate"/>
        </w:r>
        <w:r w:rsidR="00F456CB">
          <w:rPr>
            <w:noProof/>
          </w:rPr>
          <w:t>9</w:t>
        </w:r>
        <w:r>
          <w:rPr>
            <w:noProof/>
          </w:rPr>
          <w:fldChar w:fldCharType="end"/>
        </w:r>
        <w:r>
          <w:rPr>
            <w:noProof/>
          </w:rPr>
          <w:t xml:space="preserve"> of </w:t>
        </w:r>
        <w:r w:rsidR="00E021DD">
          <w:rPr>
            <w:noProof/>
          </w:rPr>
          <w:t>10</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46112" w14:textId="7FD650CA" w:rsidR="00EC07EA" w:rsidRDefault="00EC07EA" w:rsidP="00E021DD">
    <w:pPr>
      <w:pStyle w:val="Footer"/>
    </w:pPr>
    <w:r>
      <w:t xml:space="preserve">Updated </w:t>
    </w:r>
    <w:r w:rsidR="00301042">
      <w:t>August 2020</w:t>
    </w:r>
    <w:r>
      <w:tab/>
    </w:r>
    <w:r w:rsidR="00E021DD">
      <w:tab/>
    </w:r>
    <w:r w:rsidR="00E021DD">
      <w:tab/>
    </w:r>
    <w:r w:rsidR="00DB79A5">
      <w:rPr>
        <w:color w:val="000000"/>
      </w:rPr>
      <w:t xml:space="preserve">Page </w:t>
    </w:r>
    <w:r w:rsidR="00DB79A5">
      <w:rPr>
        <w:color w:val="000000"/>
      </w:rPr>
      <w:fldChar w:fldCharType="begin"/>
    </w:r>
    <w:r w:rsidR="00DB79A5">
      <w:rPr>
        <w:color w:val="000000"/>
      </w:rPr>
      <w:instrText>PAGE</w:instrText>
    </w:r>
    <w:r w:rsidR="00DB79A5">
      <w:rPr>
        <w:color w:val="000000"/>
      </w:rPr>
      <w:fldChar w:fldCharType="separate"/>
    </w:r>
    <w:r w:rsidR="00F456CB">
      <w:rPr>
        <w:noProof/>
        <w:color w:val="000000"/>
      </w:rPr>
      <w:t>1</w:t>
    </w:r>
    <w:r w:rsidR="00DB79A5">
      <w:rPr>
        <w:color w:val="000000"/>
      </w:rPr>
      <w:fldChar w:fldCharType="end"/>
    </w:r>
    <w:r w:rsidR="00DB79A5">
      <w:rPr>
        <w:color w:val="000000"/>
      </w:rPr>
      <w:t xml:space="preserve"> of </w:t>
    </w:r>
    <w:r w:rsidR="00DB79A5">
      <w:rPr>
        <w:color w:val="000000"/>
      </w:rPr>
      <w:fldChar w:fldCharType="begin"/>
    </w:r>
    <w:r w:rsidR="00DB79A5">
      <w:rPr>
        <w:color w:val="000000"/>
      </w:rPr>
      <w:instrText>NUMPAGES</w:instrText>
    </w:r>
    <w:r w:rsidR="00DB79A5">
      <w:rPr>
        <w:color w:val="000000"/>
      </w:rPr>
      <w:fldChar w:fldCharType="separate"/>
    </w:r>
    <w:r w:rsidR="00F456CB">
      <w:rPr>
        <w:noProof/>
        <w:color w:val="000000"/>
      </w:rPr>
      <w:t>9</w:t>
    </w:r>
    <w:r w:rsidR="00DB79A5">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B926D" w14:textId="77777777" w:rsidR="00EC07EA" w:rsidRDefault="00EC07EA" w:rsidP="00EC07EA">
      <w:pPr>
        <w:spacing w:after="0" w:line="240" w:lineRule="auto"/>
      </w:pPr>
      <w:r>
        <w:separator/>
      </w:r>
    </w:p>
  </w:footnote>
  <w:footnote w:type="continuationSeparator" w:id="0">
    <w:p w14:paraId="157C6BF4" w14:textId="77777777" w:rsidR="00EC07EA" w:rsidRDefault="00EC07EA" w:rsidP="00EC0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C7"/>
    <w:multiLevelType w:val="multilevel"/>
    <w:tmpl w:val="3C4E07A8"/>
    <w:styleLink w:val="Lis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01067117"/>
    <w:multiLevelType w:val="hybridMultilevel"/>
    <w:tmpl w:val="6FD01156"/>
    <w:lvl w:ilvl="0" w:tplc="1CD68B54">
      <w:start w:val="1"/>
      <w:numFmt w:val="bullet"/>
      <w:lvlText w:val="o"/>
      <w:lvlJc w:val="left"/>
      <w:pPr>
        <w:ind w:left="2160" w:hanging="360"/>
      </w:pPr>
      <w:rPr>
        <w:rFonts w:ascii="Courier New" w:hAnsi="Courier New" w:cs="Courier New" w:hint="default"/>
        <w:sz w:val="16"/>
        <w:szCs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9702B756">
      <w:start w:val="1"/>
      <w:numFmt w:val="bullet"/>
      <w:pStyle w:val="ListBullet4"/>
      <w:lvlText w:val="o"/>
      <w:lvlJc w:val="left"/>
      <w:pPr>
        <w:ind w:left="5040" w:hanging="360"/>
      </w:pPr>
      <w:rPr>
        <w:rFonts w:ascii="Courier New" w:hAnsi="Courier New" w:cs="Courier New" w:hint="default"/>
        <w:sz w:val="16"/>
        <w:szCs w:val="16"/>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1C0197"/>
    <w:multiLevelType w:val="hybridMultilevel"/>
    <w:tmpl w:val="677C8152"/>
    <w:lvl w:ilvl="0" w:tplc="B41C0F5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C672B"/>
    <w:multiLevelType w:val="hybridMultilevel"/>
    <w:tmpl w:val="1A5A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46E8E"/>
    <w:multiLevelType w:val="hybridMultilevel"/>
    <w:tmpl w:val="3992235C"/>
    <w:lvl w:ilvl="0" w:tplc="D168FBB8">
      <w:start w:val="1"/>
      <w:numFmt w:val="lowerLetter"/>
      <w:lvlText w:val="%1."/>
      <w:lvlJc w:val="left"/>
      <w:pPr>
        <w:ind w:left="135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7CD501D"/>
    <w:multiLevelType w:val="hybridMultilevel"/>
    <w:tmpl w:val="0B422C36"/>
    <w:lvl w:ilvl="0" w:tplc="73725C48">
      <w:start w:val="1"/>
      <w:numFmt w:val="decimal"/>
      <w:pStyle w:val="NumberedList1"/>
      <w:lvlText w:val="%1."/>
      <w:lvlJc w:val="right"/>
      <w:pPr>
        <w:ind w:left="720" w:hanging="360"/>
      </w:pPr>
      <w:rPr>
        <w:rFonts w:hint="default"/>
      </w:rPr>
    </w:lvl>
    <w:lvl w:ilvl="1" w:tplc="6026F13E">
      <w:start w:val="1"/>
      <w:numFmt w:val="lowerRoman"/>
      <w:lvlText w:val="%2."/>
      <w:lvlJc w:val="center"/>
      <w:pPr>
        <w:ind w:left="1440" w:hanging="360"/>
      </w:pPr>
      <w:rPr>
        <w:rFonts w:hint="default"/>
      </w:rPr>
    </w:lvl>
    <w:lvl w:ilvl="2" w:tplc="B60C58D0">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14796"/>
    <w:multiLevelType w:val="multilevel"/>
    <w:tmpl w:val="5BD0978E"/>
    <w:lvl w:ilvl="0">
      <w:start w:val="1"/>
      <w:numFmt w:val="none"/>
      <w:suff w:val="nothing"/>
      <w:lvlText w:val="%1"/>
      <w:lvlJc w:val="left"/>
      <w:pPr>
        <w:ind w:left="0" w:firstLine="0"/>
      </w:pPr>
      <w:rPr>
        <w:rFonts w:hint="default"/>
      </w:rPr>
    </w:lvl>
    <w:lvl w:ilvl="1">
      <w:start w:val="1"/>
      <w:numFmt w:val="none"/>
      <w:lvlRestart w:val="0"/>
      <w:suff w:val="nothing"/>
      <w:lvlText w:val="%1"/>
      <w:lvlJc w:val="left"/>
      <w:pPr>
        <w:ind w:left="0" w:firstLine="0"/>
      </w:pPr>
      <w:rPr>
        <w:rFonts w:hint="default"/>
      </w:rPr>
    </w:lvl>
    <w:lvl w:ilvl="2">
      <w:start w:val="1"/>
      <w:numFmt w:val="decimal"/>
      <w:lvlRestart w:val="0"/>
      <w:suff w:val="space"/>
      <w:lvlText w:val="%3%1"/>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suff w:val="space"/>
      <w:lvlText w:val="%3.%4.%5.%6"/>
      <w:lvlJc w:val="left"/>
      <w:pPr>
        <w:ind w:left="0" w:firstLine="0"/>
      </w:pPr>
      <w:rPr>
        <w:rFonts w:hint="default"/>
      </w:rPr>
    </w:lvl>
    <w:lvl w:ilvl="6">
      <w:start w:val="1"/>
      <w:numFmt w:val="none"/>
      <w:lvlRestart w:val="0"/>
      <w:suff w:val="nothing"/>
      <w:lvlText w:val="%1"/>
      <w:lvlJc w:val="left"/>
      <w:pPr>
        <w:ind w:left="0" w:firstLine="0"/>
      </w:pPr>
      <w:rPr>
        <w:rFonts w:hint="default"/>
      </w:rPr>
    </w:lvl>
    <w:lvl w:ilvl="7">
      <w:start w:val="1"/>
      <w:numFmt w:val="none"/>
      <w:lvlRestart w:val="0"/>
      <w:suff w:val="nothing"/>
      <w:lvlText w:val="%1"/>
      <w:lvlJc w:val="left"/>
      <w:pPr>
        <w:ind w:left="0" w:firstLine="0"/>
      </w:pPr>
      <w:rPr>
        <w:rFonts w:hint="default"/>
      </w:rPr>
    </w:lvl>
    <w:lvl w:ilvl="8">
      <w:start w:val="1"/>
      <w:numFmt w:val="none"/>
      <w:lvlRestart w:val="0"/>
      <w:suff w:val="nothing"/>
      <w:lvlText w:val="%1"/>
      <w:lvlJc w:val="left"/>
      <w:pPr>
        <w:ind w:left="0" w:firstLine="0"/>
      </w:pPr>
      <w:rPr>
        <w:rFonts w:hint="default"/>
      </w:rPr>
    </w:lvl>
  </w:abstractNum>
  <w:abstractNum w:abstractNumId="7" w15:restartNumberingAfterBreak="0">
    <w:nsid w:val="28DF27F4"/>
    <w:multiLevelType w:val="hybridMultilevel"/>
    <w:tmpl w:val="87A2F024"/>
    <w:lvl w:ilvl="0" w:tplc="38D80B0E">
      <w:start w:val="1"/>
      <w:numFmt w:val="bullet"/>
      <w:pStyle w:val="TableTextBullet3"/>
      <w:lvlText w:val=""/>
      <w:lvlJc w:val="left"/>
      <w:pPr>
        <w:ind w:left="1066" w:hanging="360"/>
      </w:pPr>
      <w:rPr>
        <w:rFonts w:ascii="Wingdings" w:hAnsi="Wingdings"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8" w15:restartNumberingAfterBreak="0">
    <w:nsid w:val="2DB23BF6"/>
    <w:multiLevelType w:val="multilevel"/>
    <w:tmpl w:val="EBE449D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pStyle w:val="ListBullet2"/>
      <w:lvlText w:val=""/>
      <w:lvlJc w:val="left"/>
      <w:pPr>
        <w:ind w:left="1080" w:hanging="360"/>
      </w:pPr>
      <w:rPr>
        <w:rFonts w:ascii="Wingdings 3" w:hAnsi="Wingdings 3" w:hint="default"/>
        <w:color w:val="auto"/>
        <w:sz w:val="15"/>
        <w:szCs w:val="15"/>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33AE58A4"/>
    <w:multiLevelType w:val="hybridMultilevel"/>
    <w:tmpl w:val="852EA5D6"/>
    <w:lvl w:ilvl="0" w:tplc="A1585994">
      <w:start w:val="1"/>
      <w:numFmt w:val="lowerRoman"/>
      <w:pStyle w:val="NumberedList3"/>
      <w:lvlText w:val="%1."/>
      <w:lvlJc w:val="right"/>
      <w:pPr>
        <w:ind w:left="1440" w:hanging="360"/>
      </w:pPr>
      <w:rPr>
        <w:rFonts w:ascii="Calibri" w:hAnsi="Calibri" w:hint="default"/>
        <w:b w:val="0"/>
        <w:i w:val="0"/>
        <w:sz w:val="24"/>
      </w:rPr>
    </w:lvl>
    <w:lvl w:ilvl="1" w:tplc="DFE2798E">
      <w:start w:val="1"/>
      <w:numFmt w:val="lowerRoman"/>
      <w:lvlText w:val="%2."/>
      <w:lvlJc w:val="center"/>
      <w:pPr>
        <w:ind w:left="1890" w:hanging="360"/>
      </w:pPr>
      <w:rPr>
        <w:rFonts w:hint="default"/>
      </w:rPr>
    </w:lvl>
    <w:lvl w:ilvl="2" w:tplc="B60C58D0">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35EB3CCF"/>
    <w:multiLevelType w:val="hybridMultilevel"/>
    <w:tmpl w:val="7BC48214"/>
    <w:lvl w:ilvl="0" w:tplc="D8967936">
      <w:start w:val="1"/>
      <w:numFmt w:val="bullet"/>
      <w:lvlText w:val=""/>
      <w:lvlJc w:val="left"/>
      <w:pPr>
        <w:ind w:left="720" w:hanging="360"/>
      </w:pPr>
      <w:rPr>
        <w:rFonts w:ascii="Symbol" w:hAnsi="Symbol" w:hint="default"/>
      </w:rPr>
    </w:lvl>
    <w:lvl w:ilvl="1" w:tplc="E0F23EF8">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52170"/>
    <w:multiLevelType w:val="hybridMultilevel"/>
    <w:tmpl w:val="A206570C"/>
    <w:lvl w:ilvl="0" w:tplc="C748BDDE">
      <w:start w:val="1"/>
      <w:numFmt w:val="bullet"/>
      <w:pStyle w:val="ListBullet6"/>
      <w:lvlText w:val=""/>
      <w:lvlJc w:val="left"/>
      <w:pPr>
        <w:ind w:left="2304" w:hanging="360"/>
      </w:pPr>
      <w:rPr>
        <w:rFonts w:ascii="Wingdings 2" w:hAnsi="Wingdings 2" w:hint="default"/>
        <w:sz w:val="10"/>
        <w:szCs w:val="10"/>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12" w15:restartNumberingAfterBreak="0">
    <w:nsid w:val="513A6984"/>
    <w:multiLevelType w:val="hybridMultilevel"/>
    <w:tmpl w:val="918AE258"/>
    <w:lvl w:ilvl="0" w:tplc="F188901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4252AA"/>
    <w:multiLevelType w:val="hybridMultilevel"/>
    <w:tmpl w:val="72B622A2"/>
    <w:lvl w:ilvl="0" w:tplc="0E66C49E">
      <w:start w:val="1"/>
      <w:numFmt w:val="lowerLetter"/>
      <w:pStyle w:val="NumberedList2"/>
      <w:lvlText w:val="%1."/>
      <w:lvlJc w:val="left"/>
      <w:pPr>
        <w:ind w:left="990" w:hanging="360"/>
      </w:pPr>
      <w:rPr>
        <w:rFonts w:hint="default"/>
        <w:b w:val="0"/>
        <w:i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69860A78"/>
    <w:multiLevelType w:val="multilevel"/>
    <w:tmpl w:val="CD74725C"/>
    <w:lvl w:ilvl="0">
      <w:start w:val="1"/>
      <w:numFmt w:val="bullet"/>
      <w:lvlText w:val=""/>
      <w:lvlJc w:val="left"/>
      <w:pPr>
        <w:ind w:left="360" w:hanging="360"/>
      </w:pPr>
      <w:rPr>
        <w:rFonts w:ascii="Symbol" w:hAnsi="Symbol" w:hint="default"/>
      </w:rPr>
    </w:lvl>
    <w:lvl w:ilvl="1">
      <w:start w:val="1"/>
      <w:numFmt w:val="bullet"/>
      <w:pStyle w:val="ListBullet3"/>
      <w:lvlText w:val=""/>
      <w:lvlJc w:val="left"/>
      <w:pPr>
        <w:ind w:left="720" w:hanging="360"/>
      </w:pPr>
      <w:rPr>
        <w:rFonts w:ascii="Wingdings" w:hAnsi="Wingdings" w:hint="default"/>
      </w:rPr>
    </w:lvl>
    <w:lvl w:ilvl="2">
      <w:start w:val="1"/>
      <w:numFmt w:val="bullet"/>
      <w:lvlText w:val=""/>
      <w:lvlJc w:val="left"/>
      <w:pPr>
        <w:ind w:left="1080" w:hanging="360"/>
      </w:pPr>
      <w:rPr>
        <w:rFonts w:ascii="Wingdings 3" w:hAnsi="Wingdings 3"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6AA5001A"/>
    <w:multiLevelType w:val="hybridMultilevel"/>
    <w:tmpl w:val="A37EB4F0"/>
    <w:lvl w:ilvl="0" w:tplc="0F907720">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C1003"/>
    <w:multiLevelType w:val="multilevel"/>
    <w:tmpl w:val="2F58A536"/>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836772D"/>
    <w:multiLevelType w:val="hybridMultilevel"/>
    <w:tmpl w:val="F4F04728"/>
    <w:lvl w:ilvl="0" w:tplc="500C6F80">
      <w:start w:val="1"/>
      <w:numFmt w:val="bullet"/>
      <w:pStyle w:val="ListBullet5"/>
      <w:lvlText w:val=""/>
      <w:lvlJc w:val="left"/>
      <w:pPr>
        <w:ind w:left="2070" w:hanging="360"/>
      </w:pPr>
      <w:rPr>
        <w:rFonts w:ascii="Wingdings 3" w:hAnsi="Wingdings 3" w:hint="default"/>
        <w:sz w:val="12"/>
        <w:szCs w:val="12"/>
      </w:rPr>
    </w:lvl>
    <w:lvl w:ilvl="1" w:tplc="10090003" w:tentative="1">
      <w:start w:val="1"/>
      <w:numFmt w:val="bullet"/>
      <w:lvlText w:val="o"/>
      <w:lvlJc w:val="left"/>
      <w:pPr>
        <w:ind w:left="2790" w:hanging="360"/>
      </w:pPr>
      <w:rPr>
        <w:rFonts w:ascii="Courier New" w:hAnsi="Courier New" w:cs="Courier New" w:hint="default"/>
      </w:rPr>
    </w:lvl>
    <w:lvl w:ilvl="2" w:tplc="10090005" w:tentative="1">
      <w:start w:val="1"/>
      <w:numFmt w:val="bullet"/>
      <w:lvlText w:val=""/>
      <w:lvlJc w:val="left"/>
      <w:pPr>
        <w:ind w:left="3510" w:hanging="360"/>
      </w:pPr>
      <w:rPr>
        <w:rFonts w:ascii="Wingdings" w:hAnsi="Wingdings" w:hint="default"/>
      </w:rPr>
    </w:lvl>
    <w:lvl w:ilvl="3" w:tplc="10090001" w:tentative="1">
      <w:start w:val="1"/>
      <w:numFmt w:val="bullet"/>
      <w:lvlText w:val=""/>
      <w:lvlJc w:val="left"/>
      <w:pPr>
        <w:ind w:left="4230" w:hanging="360"/>
      </w:pPr>
      <w:rPr>
        <w:rFonts w:ascii="Symbol" w:hAnsi="Symbol" w:hint="default"/>
      </w:rPr>
    </w:lvl>
    <w:lvl w:ilvl="4" w:tplc="10090003" w:tentative="1">
      <w:start w:val="1"/>
      <w:numFmt w:val="bullet"/>
      <w:lvlText w:val="o"/>
      <w:lvlJc w:val="left"/>
      <w:pPr>
        <w:ind w:left="4950" w:hanging="360"/>
      </w:pPr>
      <w:rPr>
        <w:rFonts w:ascii="Courier New" w:hAnsi="Courier New" w:cs="Courier New" w:hint="default"/>
      </w:rPr>
    </w:lvl>
    <w:lvl w:ilvl="5" w:tplc="10090005" w:tentative="1">
      <w:start w:val="1"/>
      <w:numFmt w:val="bullet"/>
      <w:lvlText w:val=""/>
      <w:lvlJc w:val="left"/>
      <w:pPr>
        <w:ind w:left="5670" w:hanging="360"/>
      </w:pPr>
      <w:rPr>
        <w:rFonts w:ascii="Wingdings" w:hAnsi="Wingdings" w:hint="default"/>
      </w:rPr>
    </w:lvl>
    <w:lvl w:ilvl="6" w:tplc="10090001" w:tentative="1">
      <w:start w:val="1"/>
      <w:numFmt w:val="bullet"/>
      <w:lvlText w:val=""/>
      <w:lvlJc w:val="left"/>
      <w:pPr>
        <w:ind w:left="6390" w:hanging="360"/>
      </w:pPr>
      <w:rPr>
        <w:rFonts w:ascii="Symbol" w:hAnsi="Symbol" w:hint="default"/>
      </w:rPr>
    </w:lvl>
    <w:lvl w:ilvl="7" w:tplc="10090003" w:tentative="1">
      <w:start w:val="1"/>
      <w:numFmt w:val="bullet"/>
      <w:lvlText w:val="o"/>
      <w:lvlJc w:val="left"/>
      <w:pPr>
        <w:ind w:left="7110" w:hanging="360"/>
      </w:pPr>
      <w:rPr>
        <w:rFonts w:ascii="Courier New" w:hAnsi="Courier New" w:cs="Courier New" w:hint="default"/>
      </w:rPr>
    </w:lvl>
    <w:lvl w:ilvl="8" w:tplc="10090005" w:tentative="1">
      <w:start w:val="1"/>
      <w:numFmt w:val="bullet"/>
      <w:lvlText w:val=""/>
      <w:lvlJc w:val="left"/>
      <w:pPr>
        <w:ind w:left="7830" w:hanging="360"/>
      </w:pPr>
      <w:rPr>
        <w:rFonts w:ascii="Wingdings" w:hAnsi="Wingdings" w:hint="default"/>
      </w:rPr>
    </w:lvl>
  </w:abstractNum>
  <w:num w:numId="1">
    <w:abstractNumId w:val="6"/>
  </w:num>
  <w:num w:numId="2">
    <w:abstractNumId w:val="3"/>
  </w:num>
  <w:num w:numId="3">
    <w:abstractNumId w:val="0"/>
  </w:num>
  <w:num w:numId="4">
    <w:abstractNumId w:val="16"/>
  </w:num>
  <w:num w:numId="5">
    <w:abstractNumId w:val="17"/>
  </w:num>
  <w:num w:numId="6">
    <w:abstractNumId w:val="14"/>
  </w:num>
  <w:num w:numId="7">
    <w:abstractNumId w:val="8"/>
  </w:num>
  <w:num w:numId="8">
    <w:abstractNumId w:val="1"/>
  </w:num>
  <w:num w:numId="9">
    <w:abstractNumId w:val="15"/>
  </w:num>
  <w:num w:numId="10">
    <w:abstractNumId w:val="11"/>
  </w:num>
  <w:num w:numId="11">
    <w:abstractNumId w:val="5"/>
  </w:num>
  <w:num w:numId="12">
    <w:abstractNumId w:val="10"/>
  </w:num>
  <w:num w:numId="13">
    <w:abstractNumId w:val="5"/>
    <w:lvlOverride w:ilvl="0">
      <w:startOverride w:val="1"/>
    </w:lvlOverride>
  </w:num>
  <w:num w:numId="14">
    <w:abstractNumId w:val="4"/>
  </w:num>
  <w:num w:numId="15">
    <w:abstractNumId w:val="4"/>
    <w:lvlOverride w:ilvl="0">
      <w:startOverride w:val="1"/>
    </w:lvlOverride>
  </w:num>
  <w:num w:numId="16">
    <w:abstractNumId w:val="8"/>
  </w:num>
  <w:num w:numId="17">
    <w:abstractNumId w:val="14"/>
  </w:num>
  <w:num w:numId="18">
    <w:abstractNumId w:val="7"/>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num>
  <w:num w:numId="25">
    <w:abstractNumId w:val="4"/>
    <w:lvlOverride w:ilvl="0">
      <w:startOverride w:val="1"/>
    </w:lvlOverride>
  </w:num>
  <w:num w:numId="26">
    <w:abstractNumId w:val="4"/>
    <w:lvlOverride w:ilvl="0">
      <w:startOverride w:val="1"/>
    </w:lvlOverride>
  </w:num>
  <w:num w:numId="27">
    <w:abstractNumId w:val="9"/>
  </w:num>
  <w:num w:numId="28">
    <w:abstractNumId w:val="9"/>
    <w:lvlOverride w:ilvl="0">
      <w:startOverride w:val="1"/>
    </w:lvlOverride>
  </w:num>
  <w:num w:numId="29">
    <w:abstractNumId w:val="5"/>
    <w:lvlOverride w:ilvl="0">
      <w:startOverride w:val="1"/>
    </w:lvlOverride>
  </w:num>
  <w:num w:numId="30">
    <w:abstractNumId w:val="9"/>
    <w:lvlOverride w:ilvl="0">
      <w:startOverride w:val="1"/>
    </w:lvlOverride>
  </w:num>
  <w:num w:numId="31">
    <w:abstractNumId w:val="5"/>
    <w:lvlOverride w:ilvl="0">
      <w:startOverride w:val="1"/>
    </w:lvlOverride>
  </w:num>
  <w:num w:numId="32">
    <w:abstractNumId w:val="5"/>
    <w:lvlOverride w:ilvl="0">
      <w:startOverride w:val="1"/>
    </w:lvlOverride>
  </w:num>
  <w:num w:numId="33">
    <w:abstractNumId w:val="5"/>
  </w:num>
  <w:num w:numId="34">
    <w:abstractNumId w:val="5"/>
  </w:num>
  <w:num w:numId="35">
    <w:abstractNumId w:val="5"/>
    <w:lvlOverride w:ilvl="0">
      <w:startOverride w:val="1"/>
    </w:lvlOverride>
  </w:num>
  <w:num w:numId="36">
    <w:abstractNumId w:val="13"/>
  </w:num>
  <w:num w:numId="37">
    <w:abstractNumId w:val="2"/>
  </w:num>
  <w:num w:numId="3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39B"/>
    <w:rsid w:val="000078BF"/>
    <w:rsid w:val="0003569D"/>
    <w:rsid w:val="00045A1F"/>
    <w:rsid w:val="00045C17"/>
    <w:rsid w:val="0006260D"/>
    <w:rsid w:val="00062F8D"/>
    <w:rsid w:val="00063AE3"/>
    <w:rsid w:val="00072B6A"/>
    <w:rsid w:val="0008565F"/>
    <w:rsid w:val="000A30DA"/>
    <w:rsid w:val="000C23DC"/>
    <w:rsid w:val="000D5B8A"/>
    <w:rsid w:val="00102A9B"/>
    <w:rsid w:val="001314B2"/>
    <w:rsid w:val="00152A6D"/>
    <w:rsid w:val="00171DC1"/>
    <w:rsid w:val="001761CF"/>
    <w:rsid w:val="001835FD"/>
    <w:rsid w:val="00186178"/>
    <w:rsid w:val="00191A92"/>
    <w:rsid w:val="001A2044"/>
    <w:rsid w:val="001A20FC"/>
    <w:rsid w:val="001B4D86"/>
    <w:rsid w:val="001C4B1A"/>
    <w:rsid w:val="001D4305"/>
    <w:rsid w:val="001E228B"/>
    <w:rsid w:val="001F550F"/>
    <w:rsid w:val="00205169"/>
    <w:rsid w:val="00217971"/>
    <w:rsid w:val="00220D5C"/>
    <w:rsid w:val="00231DF7"/>
    <w:rsid w:val="002341AC"/>
    <w:rsid w:val="00243A1B"/>
    <w:rsid w:val="00250B47"/>
    <w:rsid w:val="002645F0"/>
    <w:rsid w:val="00271570"/>
    <w:rsid w:val="00283EBF"/>
    <w:rsid w:val="002949C1"/>
    <w:rsid w:val="002A126F"/>
    <w:rsid w:val="002A2470"/>
    <w:rsid w:val="002B1085"/>
    <w:rsid w:val="002C2E8F"/>
    <w:rsid w:val="002D0DDA"/>
    <w:rsid w:val="002E34C5"/>
    <w:rsid w:val="002F3AA5"/>
    <w:rsid w:val="002F743B"/>
    <w:rsid w:val="00301042"/>
    <w:rsid w:val="0031348F"/>
    <w:rsid w:val="00314E78"/>
    <w:rsid w:val="00324EC6"/>
    <w:rsid w:val="00327C46"/>
    <w:rsid w:val="003335DF"/>
    <w:rsid w:val="0035505B"/>
    <w:rsid w:val="00363F98"/>
    <w:rsid w:val="00384210"/>
    <w:rsid w:val="00390671"/>
    <w:rsid w:val="003B09E3"/>
    <w:rsid w:val="003C16F4"/>
    <w:rsid w:val="003F03F7"/>
    <w:rsid w:val="003F6C34"/>
    <w:rsid w:val="003F7161"/>
    <w:rsid w:val="00401DAF"/>
    <w:rsid w:val="00402FAD"/>
    <w:rsid w:val="00417AC2"/>
    <w:rsid w:val="00421257"/>
    <w:rsid w:val="00422E1E"/>
    <w:rsid w:val="0042390D"/>
    <w:rsid w:val="0043157C"/>
    <w:rsid w:val="00431993"/>
    <w:rsid w:val="004330E0"/>
    <w:rsid w:val="00434A03"/>
    <w:rsid w:val="0043573A"/>
    <w:rsid w:val="00442AFC"/>
    <w:rsid w:val="00463691"/>
    <w:rsid w:val="00472772"/>
    <w:rsid w:val="00473682"/>
    <w:rsid w:val="00476A4E"/>
    <w:rsid w:val="00481392"/>
    <w:rsid w:val="00490A29"/>
    <w:rsid w:val="004B187F"/>
    <w:rsid w:val="004C0561"/>
    <w:rsid w:val="004C54AA"/>
    <w:rsid w:val="004C7ABA"/>
    <w:rsid w:val="004E2153"/>
    <w:rsid w:val="004E74A2"/>
    <w:rsid w:val="00534827"/>
    <w:rsid w:val="00547E0C"/>
    <w:rsid w:val="00550249"/>
    <w:rsid w:val="00551464"/>
    <w:rsid w:val="00552753"/>
    <w:rsid w:val="00555A43"/>
    <w:rsid w:val="005618DA"/>
    <w:rsid w:val="005721E0"/>
    <w:rsid w:val="00577213"/>
    <w:rsid w:val="005875E6"/>
    <w:rsid w:val="00590A78"/>
    <w:rsid w:val="005A2D50"/>
    <w:rsid w:val="005A604F"/>
    <w:rsid w:val="005B1184"/>
    <w:rsid w:val="005C0B30"/>
    <w:rsid w:val="005C0D53"/>
    <w:rsid w:val="005C6627"/>
    <w:rsid w:val="005D1598"/>
    <w:rsid w:val="005D20E9"/>
    <w:rsid w:val="005D2E69"/>
    <w:rsid w:val="005D7466"/>
    <w:rsid w:val="005F48C6"/>
    <w:rsid w:val="00603CC5"/>
    <w:rsid w:val="006150FA"/>
    <w:rsid w:val="00621CE3"/>
    <w:rsid w:val="0063239B"/>
    <w:rsid w:val="00632D52"/>
    <w:rsid w:val="00632F71"/>
    <w:rsid w:val="006403FC"/>
    <w:rsid w:val="00642B19"/>
    <w:rsid w:val="00644869"/>
    <w:rsid w:val="006460D3"/>
    <w:rsid w:val="0065438A"/>
    <w:rsid w:val="00666822"/>
    <w:rsid w:val="00672716"/>
    <w:rsid w:val="00673266"/>
    <w:rsid w:val="006826C7"/>
    <w:rsid w:val="006B6C5B"/>
    <w:rsid w:val="006D1523"/>
    <w:rsid w:val="006D798C"/>
    <w:rsid w:val="006F38E8"/>
    <w:rsid w:val="00704D29"/>
    <w:rsid w:val="00730DD1"/>
    <w:rsid w:val="00742C69"/>
    <w:rsid w:val="007433D8"/>
    <w:rsid w:val="007616AF"/>
    <w:rsid w:val="00776310"/>
    <w:rsid w:val="00782974"/>
    <w:rsid w:val="007B1207"/>
    <w:rsid w:val="007B4BE1"/>
    <w:rsid w:val="007B52F5"/>
    <w:rsid w:val="007C57C4"/>
    <w:rsid w:val="007D0FAB"/>
    <w:rsid w:val="007E6A64"/>
    <w:rsid w:val="00805E06"/>
    <w:rsid w:val="00811EC3"/>
    <w:rsid w:val="0082014C"/>
    <w:rsid w:val="00820891"/>
    <w:rsid w:val="00826285"/>
    <w:rsid w:val="00836ACF"/>
    <w:rsid w:val="0085594F"/>
    <w:rsid w:val="00864991"/>
    <w:rsid w:val="008664B1"/>
    <w:rsid w:val="0087459D"/>
    <w:rsid w:val="00875266"/>
    <w:rsid w:val="00880898"/>
    <w:rsid w:val="008854BE"/>
    <w:rsid w:val="00891889"/>
    <w:rsid w:val="00892D95"/>
    <w:rsid w:val="008A0849"/>
    <w:rsid w:val="008A2D99"/>
    <w:rsid w:val="008B21CD"/>
    <w:rsid w:val="008B60C1"/>
    <w:rsid w:val="008C713B"/>
    <w:rsid w:val="008E27F1"/>
    <w:rsid w:val="00907EB2"/>
    <w:rsid w:val="0092514B"/>
    <w:rsid w:val="00926FFC"/>
    <w:rsid w:val="00951DE2"/>
    <w:rsid w:val="009527E3"/>
    <w:rsid w:val="009569F1"/>
    <w:rsid w:val="00961A14"/>
    <w:rsid w:val="0096295A"/>
    <w:rsid w:val="00972556"/>
    <w:rsid w:val="00994C9E"/>
    <w:rsid w:val="009B29A4"/>
    <w:rsid w:val="009C366E"/>
    <w:rsid w:val="009E1B52"/>
    <w:rsid w:val="009F525A"/>
    <w:rsid w:val="00A0756E"/>
    <w:rsid w:val="00A464CB"/>
    <w:rsid w:val="00A52440"/>
    <w:rsid w:val="00A66D17"/>
    <w:rsid w:val="00A7581C"/>
    <w:rsid w:val="00A8149D"/>
    <w:rsid w:val="00A8335A"/>
    <w:rsid w:val="00A84987"/>
    <w:rsid w:val="00A912AE"/>
    <w:rsid w:val="00A9704E"/>
    <w:rsid w:val="00AB5882"/>
    <w:rsid w:val="00AB7360"/>
    <w:rsid w:val="00AD5E6A"/>
    <w:rsid w:val="00AF05FF"/>
    <w:rsid w:val="00AF25D8"/>
    <w:rsid w:val="00AF2DFE"/>
    <w:rsid w:val="00B06195"/>
    <w:rsid w:val="00B159FB"/>
    <w:rsid w:val="00B20042"/>
    <w:rsid w:val="00B20690"/>
    <w:rsid w:val="00B22521"/>
    <w:rsid w:val="00B276C0"/>
    <w:rsid w:val="00B334D2"/>
    <w:rsid w:val="00B34E3B"/>
    <w:rsid w:val="00B565FF"/>
    <w:rsid w:val="00B65FB6"/>
    <w:rsid w:val="00B73670"/>
    <w:rsid w:val="00B81627"/>
    <w:rsid w:val="00B93121"/>
    <w:rsid w:val="00BA0440"/>
    <w:rsid w:val="00BA655E"/>
    <w:rsid w:val="00BA6DF9"/>
    <w:rsid w:val="00BB12D8"/>
    <w:rsid w:val="00BB4B09"/>
    <w:rsid w:val="00BB56A8"/>
    <w:rsid w:val="00BC3F06"/>
    <w:rsid w:val="00BE5207"/>
    <w:rsid w:val="00C01AFC"/>
    <w:rsid w:val="00C0300F"/>
    <w:rsid w:val="00C0643F"/>
    <w:rsid w:val="00C163C7"/>
    <w:rsid w:val="00C20F60"/>
    <w:rsid w:val="00C22831"/>
    <w:rsid w:val="00C3208B"/>
    <w:rsid w:val="00C352E7"/>
    <w:rsid w:val="00C435E0"/>
    <w:rsid w:val="00C524A1"/>
    <w:rsid w:val="00C54A78"/>
    <w:rsid w:val="00C647F7"/>
    <w:rsid w:val="00C900D0"/>
    <w:rsid w:val="00C90CC5"/>
    <w:rsid w:val="00C95A87"/>
    <w:rsid w:val="00C97542"/>
    <w:rsid w:val="00CA79B7"/>
    <w:rsid w:val="00CB48B0"/>
    <w:rsid w:val="00CC4883"/>
    <w:rsid w:val="00CD3726"/>
    <w:rsid w:val="00CD44E7"/>
    <w:rsid w:val="00D02BD9"/>
    <w:rsid w:val="00D154FF"/>
    <w:rsid w:val="00D444B1"/>
    <w:rsid w:val="00D45584"/>
    <w:rsid w:val="00D45C51"/>
    <w:rsid w:val="00D56963"/>
    <w:rsid w:val="00D637E2"/>
    <w:rsid w:val="00D879BF"/>
    <w:rsid w:val="00DA59D0"/>
    <w:rsid w:val="00DA61E1"/>
    <w:rsid w:val="00DB79A5"/>
    <w:rsid w:val="00DC0710"/>
    <w:rsid w:val="00DC575E"/>
    <w:rsid w:val="00E021DD"/>
    <w:rsid w:val="00E069F5"/>
    <w:rsid w:val="00E13465"/>
    <w:rsid w:val="00E269EB"/>
    <w:rsid w:val="00E27550"/>
    <w:rsid w:val="00E46CAC"/>
    <w:rsid w:val="00E53C9F"/>
    <w:rsid w:val="00E56E31"/>
    <w:rsid w:val="00E72FA4"/>
    <w:rsid w:val="00E947AE"/>
    <w:rsid w:val="00EC07EA"/>
    <w:rsid w:val="00EC4D06"/>
    <w:rsid w:val="00ED594B"/>
    <w:rsid w:val="00EE09AB"/>
    <w:rsid w:val="00EE40AD"/>
    <w:rsid w:val="00EE6281"/>
    <w:rsid w:val="00EF2F89"/>
    <w:rsid w:val="00EF5A7F"/>
    <w:rsid w:val="00F10438"/>
    <w:rsid w:val="00F2432D"/>
    <w:rsid w:val="00F253AC"/>
    <w:rsid w:val="00F26576"/>
    <w:rsid w:val="00F319C3"/>
    <w:rsid w:val="00F31DE0"/>
    <w:rsid w:val="00F343E6"/>
    <w:rsid w:val="00F41003"/>
    <w:rsid w:val="00F44542"/>
    <w:rsid w:val="00F456CB"/>
    <w:rsid w:val="00F50A77"/>
    <w:rsid w:val="00F63DCA"/>
    <w:rsid w:val="00F96DB9"/>
    <w:rsid w:val="00FB6B49"/>
    <w:rsid w:val="00FC03D2"/>
    <w:rsid w:val="00FC0FE2"/>
    <w:rsid w:val="00FC4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E5162"/>
  <w15:docId w15:val="{DFEAB98D-BBBC-4AD9-8EA0-33C487F8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US" w:eastAsia="en-US" w:bidi="ar-SA"/>
      </w:rPr>
    </w:rPrDefault>
    <w:pPrDefault>
      <w:pPr>
        <w:spacing w:after="200" w:line="29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DD"/>
    <w:pPr>
      <w:tabs>
        <w:tab w:val="left" w:pos="432"/>
      </w:tabs>
      <w:spacing w:line="288" w:lineRule="auto"/>
    </w:pPr>
    <w:rPr>
      <w:rFonts w:ascii="Calibri" w:hAnsi="Calibri"/>
      <w:sz w:val="24"/>
      <w:lang w:val="en-CA"/>
    </w:rPr>
  </w:style>
  <w:style w:type="paragraph" w:styleId="Heading1">
    <w:name w:val="heading 1"/>
    <w:next w:val="Normal"/>
    <w:link w:val="Heading1Char"/>
    <w:autoRedefine/>
    <w:uiPriority w:val="9"/>
    <w:qFormat/>
    <w:rsid w:val="0096295A"/>
    <w:pPr>
      <w:keepNext/>
      <w:keepLines/>
      <w:numPr>
        <w:numId w:val="4"/>
      </w:numPr>
      <w:pBdr>
        <w:bottom w:val="single" w:sz="4" w:space="3" w:color="003366"/>
      </w:pBdr>
      <w:tabs>
        <w:tab w:val="left" w:pos="432"/>
      </w:tabs>
      <w:spacing w:before="360" w:after="240" w:line="288" w:lineRule="auto"/>
      <w:contextualSpacing/>
      <w:outlineLvl w:val="0"/>
    </w:pPr>
    <w:rPr>
      <w:rFonts w:ascii="Lucida Bright" w:eastAsia="Times New Roman" w:hAnsi="Lucida Bright" w:cs="Times New Roman"/>
      <w:b/>
      <w:bCs/>
      <w:color w:val="002A5C"/>
      <w:sz w:val="35"/>
      <w:szCs w:val="28"/>
      <w:lang w:val="en-CA" w:eastAsia="en-CA"/>
    </w:rPr>
  </w:style>
  <w:style w:type="paragraph" w:styleId="Heading2">
    <w:name w:val="heading 2"/>
    <w:basedOn w:val="Heading1"/>
    <w:next w:val="Normal"/>
    <w:link w:val="Heading2Char"/>
    <w:autoRedefine/>
    <w:uiPriority w:val="9"/>
    <w:unhideWhenUsed/>
    <w:qFormat/>
    <w:rsid w:val="00972556"/>
    <w:pPr>
      <w:numPr>
        <w:ilvl w:val="1"/>
      </w:numPr>
      <w:pBdr>
        <w:bottom w:val="none" w:sz="0" w:space="0" w:color="auto"/>
      </w:pBdr>
      <w:tabs>
        <w:tab w:val="left" w:pos="720"/>
      </w:tabs>
      <w:spacing w:before="240" w:after="60" w:line="372" w:lineRule="exact"/>
      <w:ind w:left="720" w:hanging="720"/>
      <w:outlineLvl w:val="1"/>
    </w:pPr>
    <w:rPr>
      <w:sz w:val="31"/>
      <w:szCs w:val="34"/>
    </w:rPr>
  </w:style>
  <w:style w:type="paragraph" w:styleId="Heading3">
    <w:name w:val="heading 3"/>
    <w:basedOn w:val="Heading2"/>
    <w:next w:val="Normal"/>
    <w:link w:val="Heading3Char"/>
    <w:autoRedefine/>
    <w:uiPriority w:val="9"/>
    <w:unhideWhenUsed/>
    <w:qFormat/>
    <w:rsid w:val="00D879BF"/>
    <w:pPr>
      <w:numPr>
        <w:ilvl w:val="2"/>
      </w:numPr>
      <w:tabs>
        <w:tab w:val="clear" w:pos="720"/>
        <w:tab w:val="left" w:pos="900"/>
      </w:tabs>
      <w:spacing w:after="0" w:line="324" w:lineRule="exact"/>
      <w:ind w:left="907" w:hanging="907"/>
      <w:outlineLvl w:val="2"/>
    </w:pPr>
    <w:rPr>
      <w:sz w:val="27"/>
    </w:rPr>
  </w:style>
  <w:style w:type="paragraph" w:styleId="Heading4">
    <w:name w:val="heading 4"/>
    <w:basedOn w:val="Heading3"/>
    <w:next w:val="Normal"/>
    <w:link w:val="Heading4Char"/>
    <w:autoRedefine/>
    <w:uiPriority w:val="9"/>
    <w:unhideWhenUsed/>
    <w:qFormat/>
    <w:rsid w:val="00D879BF"/>
    <w:pPr>
      <w:numPr>
        <w:ilvl w:val="3"/>
      </w:numPr>
      <w:tabs>
        <w:tab w:val="clear" w:pos="900"/>
        <w:tab w:val="left" w:pos="1080"/>
      </w:tabs>
      <w:spacing w:line="276" w:lineRule="exact"/>
      <w:ind w:left="1080" w:hanging="1080"/>
      <w:outlineLvl w:val="3"/>
    </w:pPr>
    <w:rPr>
      <w:sz w:val="23"/>
    </w:rPr>
  </w:style>
  <w:style w:type="paragraph" w:styleId="Heading5">
    <w:name w:val="heading 5"/>
    <w:next w:val="Normal"/>
    <w:link w:val="Heading5Char"/>
    <w:autoRedefine/>
    <w:uiPriority w:val="9"/>
    <w:unhideWhenUsed/>
    <w:qFormat/>
    <w:rsid w:val="00D879BF"/>
    <w:pPr>
      <w:numPr>
        <w:ilvl w:val="4"/>
        <w:numId w:val="4"/>
      </w:numPr>
      <w:tabs>
        <w:tab w:val="left" w:pos="1166"/>
      </w:tabs>
      <w:spacing w:before="240" w:after="0" w:line="240" w:lineRule="exact"/>
      <w:ind w:left="1166" w:hanging="1166"/>
      <w:contextualSpacing/>
      <w:outlineLvl w:val="4"/>
    </w:pPr>
    <w:rPr>
      <w:rFonts w:ascii="Lucida Bright" w:eastAsia="Times New Roman" w:hAnsi="Lucida Bright" w:cs="Times New Roman"/>
      <w:b/>
      <w:bCs/>
      <w:color w:val="002A5C"/>
      <w:szCs w:val="34"/>
      <w:lang w:val="en-CA" w:eastAsia="en-CA"/>
    </w:rPr>
  </w:style>
  <w:style w:type="paragraph" w:styleId="Heading6">
    <w:name w:val="heading 6"/>
    <w:basedOn w:val="Heading5"/>
    <w:next w:val="Normal"/>
    <w:link w:val="Heading6Char"/>
    <w:autoRedefine/>
    <w:uiPriority w:val="9"/>
    <w:unhideWhenUsed/>
    <w:rsid w:val="00875266"/>
    <w:pPr>
      <w:numPr>
        <w:ilvl w:val="5"/>
      </w:numPr>
      <w:outlineLvl w:val="5"/>
    </w:pPr>
    <w:rPr>
      <w:iCs/>
      <w:sz w:val="26"/>
    </w:rPr>
  </w:style>
  <w:style w:type="paragraph" w:styleId="Heading7">
    <w:name w:val="heading 7"/>
    <w:basedOn w:val="Heading6"/>
    <w:next w:val="Normal"/>
    <w:link w:val="Heading7Char"/>
    <w:uiPriority w:val="9"/>
    <w:unhideWhenUsed/>
    <w:rsid w:val="001761CF"/>
    <w:pPr>
      <w:numPr>
        <w:ilvl w:val="6"/>
      </w:numPr>
      <w:outlineLvl w:val="6"/>
    </w:pPr>
    <w:rPr>
      <w:iCs w:val="0"/>
      <w:color w:val="1F497D"/>
    </w:rPr>
  </w:style>
  <w:style w:type="paragraph" w:styleId="Heading8">
    <w:name w:val="heading 8"/>
    <w:basedOn w:val="Heading7"/>
    <w:next w:val="Normal"/>
    <w:link w:val="Heading8Char"/>
    <w:uiPriority w:val="9"/>
    <w:unhideWhenUsed/>
    <w:rsid w:val="001761CF"/>
    <w:pPr>
      <w:numPr>
        <w:ilvl w:val="7"/>
      </w:numPr>
      <w:outlineLvl w:val="7"/>
    </w:pPr>
    <w:rPr>
      <w:szCs w:val="20"/>
    </w:rPr>
  </w:style>
  <w:style w:type="paragraph" w:styleId="Heading9">
    <w:name w:val="heading 9"/>
    <w:basedOn w:val="Heading8"/>
    <w:next w:val="Normal"/>
    <w:link w:val="Heading9Char"/>
    <w:uiPriority w:val="9"/>
    <w:unhideWhenUsed/>
    <w:rsid w:val="001761CF"/>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95A"/>
    <w:rPr>
      <w:rFonts w:ascii="Lucida Bright" w:eastAsia="Times New Roman" w:hAnsi="Lucida Bright" w:cs="Times New Roman"/>
      <w:b/>
      <w:bCs/>
      <w:color w:val="002A5C"/>
      <w:sz w:val="35"/>
      <w:szCs w:val="28"/>
      <w:lang w:val="en-CA" w:eastAsia="en-CA"/>
    </w:rPr>
  </w:style>
  <w:style w:type="character" w:customStyle="1" w:styleId="Heading2Char">
    <w:name w:val="Heading 2 Char"/>
    <w:basedOn w:val="DefaultParagraphFont"/>
    <w:link w:val="Heading2"/>
    <w:uiPriority w:val="9"/>
    <w:rsid w:val="00972556"/>
    <w:rPr>
      <w:rFonts w:ascii="Lucida Bright" w:eastAsia="Times New Roman" w:hAnsi="Lucida Bright" w:cs="Times New Roman"/>
      <w:b/>
      <w:bCs/>
      <w:color w:val="002A5C"/>
      <w:sz w:val="31"/>
      <w:szCs w:val="34"/>
      <w:lang w:val="en-CA" w:eastAsia="en-CA"/>
    </w:rPr>
  </w:style>
  <w:style w:type="character" w:customStyle="1" w:styleId="Heading3Char">
    <w:name w:val="Heading 3 Char"/>
    <w:basedOn w:val="DefaultParagraphFont"/>
    <w:link w:val="Heading3"/>
    <w:uiPriority w:val="9"/>
    <w:rsid w:val="00D879BF"/>
    <w:rPr>
      <w:rFonts w:ascii="Lucida Bright" w:eastAsia="Times New Roman" w:hAnsi="Lucida Bright" w:cs="Times New Roman"/>
      <w:b/>
      <w:bCs/>
      <w:color w:val="002A5C"/>
      <w:sz w:val="27"/>
      <w:szCs w:val="34"/>
      <w:lang w:val="en-CA" w:eastAsia="en-CA"/>
    </w:rPr>
  </w:style>
  <w:style w:type="character" w:customStyle="1" w:styleId="Heading4Char">
    <w:name w:val="Heading 4 Char"/>
    <w:basedOn w:val="DefaultParagraphFont"/>
    <w:link w:val="Heading4"/>
    <w:uiPriority w:val="9"/>
    <w:rsid w:val="00D879BF"/>
    <w:rPr>
      <w:rFonts w:ascii="Lucida Bright" w:eastAsia="Times New Roman" w:hAnsi="Lucida Bright" w:cs="Times New Roman"/>
      <w:b/>
      <w:bCs/>
      <w:color w:val="002A5C"/>
      <w:sz w:val="23"/>
      <w:szCs w:val="34"/>
      <w:lang w:val="en-CA" w:eastAsia="en-CA"/>
    </w:rPr>
  </w:style>
  <w:style w:type="character" w:customStyle="1" w:styleId="Heading5Char">
    <w:name w:val="Heading 5 Char"/>
    <w:basedOn w:val="DefaultParagraphFont"/>
    <w:link w:val="Heading5"/>
    <w:uiPriority w:val="9"/>
    <w:rsid w:val="00D879BF"/>
    <w:rPr>
      <w:rFonts w:ascii="Lucida Bright" w:eastAsia="Times New Roman" w:hAnsi="Lucida Bright" w:cs="Times New Roman"/>
      <w:b/>
      <w:bCs/>
      <w:color w:val="002A5C"/>
      <w:szCs w:val="34"/>
      <w:lang w:val="en-CA" w:eastAsia="en-CA"/>
    </w:rPr>
  </w:style>
  <w:style w:type="character" w:customStyle="1" w:styleId="Heading6Char">
    <w:name w:val="Heading 6 Char"/>
    <w:basedOn w:val="DefaultParagraphFont"/>
    <w:link w:val="Heading6"/>
    <w:uiPriority w:val="9"/>
    <w:rsid w:val="00875266"/>
    <w:rPr>
      <w:rFonts w:ascii="Calibri" w:eastAsia="Times New Roman" w:hAnsi="Calibri" w:cs="Times New Roman"/>
      <w:b/>
      <w:bCs/>
      <w:i/>
      <w:iCs/>
      <w:sz w:val="26"/>
      <w:szCs w:val="34"/>
      <w:lang w:val="en-CA" w:eastAsia="en-CA"/>
    </w:rPr>
  </w:style>
  <w:style w:type="character" w:customStyle="1" w:styleId="Heading7Char">
    <w:name w:val="Heading 7 Char"/>
    <w:basedOn w:val="DefaultParagraphFont"/>
    <w:link w:val="Heading7"/>
    <w:uiPriority w:val="9"/>
    <w:rsid w:val="001761CF"/>
    <w:rPr>
      <w:rFonts w:ascii="Calibri" w:eastAsia="Times New Roman" w:hAnsi="Calibri" w:cs="Times New Roman"/>
      <w:b/>
      <w:bCs/>
      <w:i/>
      <w:color w:val="1F497D"/>
      <w:sz w:val="26"/>
      <w:szCs w:val="34"/>
      <w:lang w:val="en-CA" w:eastAsia="en-CA"/>
    </w:rPr>
  </w:style>
  <w:style w:type="character" w:customStyle="1" w:styleId="Heading8Char">
    <w:name w:val="Heading 8 Char"/>
    <w:basedOn w:val="DefaultParagraphFont"/>
    <w:link w:val="Heading8"/>
    <w:uiPriority w:val="9"/>
    <w:rsid w:val="001761CF"/>
    <w:rPr>
      <w:rFonts w:ascii="Calibri" w:eastAsia="Times New Roman" w:hAnsi="Calibri" w:cs="Times New Roman"/>
      <w:b/>
      <w:bCs/>
      <w:i/>
      <w:color w:val="1F497D"/>
      <w:sz w:val="26"/>
      <w:lang w:val="en-CA" w:eastAsia="en-CA"/>
    </w:rPr>
  </w:style>
  <w:style w:type="character" w:customStyle="1" w:styleId="Heading9Char">
    <w:name w:val="Heading 9 Char"/>
    <w:basedOn w:val="DefaultParagraphFont"/>
    <w:link w:val="Heading9"/>
    <w:uiPriority w:val="9"/>
    <w:rsid w:val="001761CF"/>
    <w:rPr>
      <w:rFonts w:ascii="Calibri" w:eastAsia="Times New Roman" w:hAnsi="Calibri" w:cs="Times New Roman"/>
      <w:b/>
      <w:bCs/>
      <w:i/>
      <w:iCs/>
      <w:color w:val="1F497D"/>
      <w:sz w:val="26"/>
      <w:lang w:val="en-CA" w:eastAsia="en-CA"/>
    </w:rPr>
  </w:style>
  <w:style w:type="paragraph" w:styleId="ListBullet">
    <w:name w:val="List Bullet"/>
    <w:basedOn w:val="Normal"/>
    <w:autoRedefine/>
    <w:uiPriority w:val="99"/>
    <w:unhideWhenUsed/>
    <w:qFormat/>
    <w:rsid w:val="00D879BF"/>
    <w:pPr>
      <w:numPr>
        <w:numId w:val="9"/>
      </w:numPr>
      <w:spacing w:after="0"/>
      <w:ind w:left="605" w:hanging="245"/>
      <w:contextualSpacing/>
    </w:pPr>
    <w:rPr>
      <w:color w:val="000000" w:themeColor="text1"/>
    </w:rPr>
  </w:style>
  <w:style w:type="paragraph" w:styleId="ListBullet2">
    <w:name w:val="List Bullet 2"/>
    <w:basedOn w:val="Normal"/>
    <w:autoRedefine/>
    <w:uiPriority w:val="99"/>
    <w:unhideWhenUsed/>
    <w:rsid w:val="00D879BF"/>
    <w:pPr>
      <w:numPr>
        <w:ilvl w:val="2"/>
        <w:numId w:val="7"/>
      </w:numPr>
      <w:spacing w:after="0"/>
      <w:ind w:left="850" w:hanging="245"/>
    </w:pPr>
    <w:rPr>
      <w:color w:val="000000" w:themeColor="text1"/>
      <w:szCs w:val="24"/>
    </w:rPr>
  </w:style>
  <w:style w:type="paragraph" w:styleId="ListBullet3">
    <w:name w:val="List Bullet 3"/>
    <w:basedOn w:val="Normal"/>
    <w:autoRedefine/>
    <w:uiPriority w:val="99"/>
    <w:unhideWhenUsed/>
    <w:rsid w:val="00D879BF"/>
    <w:pPr>
      <w:numPr>
        <w:ilvl w:val="1"/>
        <w:numId w:val="6"/>
      </w:numPr>
      <w:spacing w:after="0"/>
      <w:ind w:left="1095" w:hanging="245"/>
      <w:contextualSpacing/>
    </w:pPr>
    <w:rPr>
      <w:color w:val="000000" w:themeColor="text1"/>
    </w:rPr>
  </w:style>
  <w:style w:type="paragraph" w:styleId="ListBullet4">
    <w:name w:val="List Bullet 4"/>
    <w:autoRedefine/>
    <w:uiPriority w:val="99"/>
    <w:unhideWhenUsed/>
    <w:rsid w:val="00D879BF"/>
    <w:pPr>
      <w:numPr>
        <w:ilvl w:val="4"/>
        <w:numId w:val="8"/>
      </w:numPr>
      <w:spacing w:after="0" w:line="240" w:lineRule="auto"/>
      <w:ind w:left="1339" w:hanging="245"/>
      <w:contextualSpacing/>
    </w:pPr>
    <w:rPr>
      <w:rFonts w:ascii="Calibri" w:hAnsi="Calibri"/>
      <w:color w:val="000000" w:themeColor="text1"/>
      <w:sz w:val="24"/>
      <w:lang w:val="en-CA"/>
    </w:rPr>
  </w:style>
  <w:style w:type="paragraph" w:styleId="ListBullet5">
    <w:name w:val="List Bullet 5"/>
    <w:autoRedefine/>
    <w:uiPriority w:val="99"/>
    <w:unhideWhenUsed/>
    <w:rsid w:val="009F525A"/>
    <w:pPr>
      <w:numPr>
        <w:numId w:val="5"/>
      </w:numPr>
      <w:spacing w:after="0" w:line="240" w:lineRule="auto"/>
      <w:ind w:left="1584" w:hanging="245"/>
      <w:contextualSpacing/>
    </w:pPr>
    <w:rPr>
      <w:rFonts w:ascii="Calibri" w:hAnsi="Calibri"/>
      <w:color w:val="000000" w:themeColor="text1"/>
      <w:sz w:val="24"/>
      <w:lang w:val="en-CA"/>
    </w:rPr>
  </w:style>
  <w:style w:type="numbering" w:customStyle="1" w:styleId="ListBullets">
    <w:name w:val="ListBullets"/>
    <w:uiPriority w:val="99"/>
    <w:rsid w:val="00672716"/>
    <w:pPr>
      <w:numPr>
        <w:numId w:val="3"/>
      </w:numPr>
    </w:pPr>
  </w:style>
  <w:style w:type="paragraph" w:styleId="Title">
    <w:name w:val="Title"/>
    <w:basedOn w:val="Normal"/>
    <w:next w:val="Normal"/>
    <w:link w:val="TitleChar"/>
    <w:autoRedefine/>
    <w:qFormat/>
    <w:rsid w:val="00E021DD"/>
    <w:pPr>
      <w:spacing w:before="120" w:after="120"/>
      <w:contextualSpacing/>
      <w:jc w:val="center"/>
    </w:pPr>
    <w:rPr>
      <w:rFonts w:ascii="Lucida Bright" w:hAnsi="Lucida Bright"/>
      <w:b/>
      <w:color w:val="002A5C"/>
      <w:spacing w:val="5"/>
      <w:kern w:val="28"/>
      <w:sz w:val="38"/>
      <w:szCs w:val="52"/>
    </w:rPr>
  </w:style>
  <w:style w:type="character" w:customStyle="1" w:styleId="TitleChar">
    <w:name w:val="Title Char"/>
    <w:basedOn w:val="DefaultParagraphFont"/>
    <w:link w:val="Title"/>
    <w:rsid w:val="00E021DD"/>
    <w:rPr>
      <w:rFonts w:ascii="Lucida Bright" w:hAnsi="Lucida Bright"/>
      <w:b/>
      <w:color w:val="002A5C"/>
      <w:spacing w:val="5"/>
      <w:kern w:val="28"/>
      <w:sz w:val="38"/>
      <w:szCs w:val="52"/>
      <w:lang w:val="en-CA"/>
    </w:rPr>
  </w:style>
  <w:style w:type="paragraph" w:styleId="Subtitle">
    <w:name w:val="Subtitle"/>
    <w:basedOn w:val="Title"/>
    <w:next w:val="Normal"/>
    <w:link w:val="SubtitleChar"/>
    <w:autoRedefine/>
    <w:qFormat/>
    <w:rsid w:val="00FC0FE2"/>
    <w:pPr>
      <w:spacing w:line="480" w:lineRule="exact"/>
    </w:pPr>
    <w:rPr>
      <w:rFonts w:ascii="Calibri" w:hAnsi="Calibri"/>
      <w:color w:val="000000" w:themeColor="text1"/>
    </w:rPr>
  </w:style>
  <w:style w:type="character" w:customStyle="1" w:styleId="SubtitleChar">
    <w:name w:val="Subtitle Char"/>
    <w:basedOn w:val="DefaultParagraphFont"/>
    <w:link w:val="Subtitle"/>
    <w:rsid w:val="00FC0FE2"/>
    <w:rPr>
      <w:rFonts w:ascii="Calibri" w:hAnsi="Calibri"/>
      <w:b/>
      <w:color w:val="000000" w:themeColor="text1"/>
      <w:spacing w:val="5"/>
      <w:kern w:val="28"/>
      <w:sz w:val="38"/>
      <w:szCs w:val="52"/>
      <w:lang w:val="en-CA"/>
    </w:rPr>
  </w:style>
  <w:style w:type="paragraph" w:styleId="TOCHeading">
    <w:name w:val="TOC Heading"/>
    <w:next w:val="Normal"/>
    <w:autoRedefine/>
    <w:uiPriority w:val="39"/>
    <w:unhideWhenUsed/>
    <w:qFormat/>
    <w:rsid w:val="00D879BF"/>
    <w:pPr>
      <w:spacing w:before="240" w:after="120" w:line="384" w:lineRule="exact"/>
    </w:pPr>
    <w:rPr>
      <w:rFonts w:ascii="Lucida Bright" w:eastAsia="Times New Roman" w:hAnsi="Lucida Bright" w:cs="Times New Roman"/>
      <w:b/>
      <w:color w:val="002A5C"/>
      <w:sz w:val="35"/>
      <w:szCs w:val="22"/>
      <w:lang w:val="en-CA" w:eastAsia="en-CA"/>
    </w:rPr>
  </w:style>
  <w:style w:type="paragraph" w:styleId="TOC1">
    <w:name w:val="toc 1"/>
    <w:basedOn w:val="Normal"/>
    <w:next w:val="Normal"/>
    <w:autoRedefine/>
    <w:uiPriority w:val="39"/>
    <w:unhideWhenUsed/>
    <w:rsid w:val="00E27550"/>
    <w:pPr>
      <w:tabs>
        <w:tab w:val="left" w:pos="180"/>
        <w:tab w:val="right" w:leader="dot" w:pos="9350"/>
      </w:tabs>
      <w:spacing w:after="0"/>
      <w:ind w:left="187" w:hanging="187"/>
      <w:contextualSpacing/>
    </w:pPr>
    <w:rPr>
      <w:noProof/>
      <w:color w:val="000000" w:themeColor="text1"/>
    </w:rPr>
  </w:style>
  <w:style w:type="paragraph" w:styleId="TOC2">
    <w:name w:val="toc 2"/>
    <w:basedOn w:val="Normal"/>
    <w:next w:val="Normal"/>
    <w:autoRedefine/>
    <w:uiPriority w:val="39"/>
    <w:unhideWhenUsed/>
    <w:rsid w:val="00E27550"/>
    <w:pPr>
      <w:tabs>
        <w:tab w:val="left" w:pos="540"/>
        <w:tab w:val="right" w:leader="dot" w:pos="9350"/>
      </w:tabs>
      <w:spacing w:after="0"/>
      <w:ind w:left="374" w:hanging="187"/>
      <w:contextualSpacing/>
    </w:pPr>
    <w:rPr>
      <w:noProof/>
      <w:color w:val="000000" w:themeColor="text1"/>
    </w:rPr>
  </w:style>
  <w:style w:type="paragraph" w:styleId="TOC3">
    <w:name w:val="toc 3"/>
    <w:basedOn w:val="Normal"/>
    <w:next w:val="Normal"/>
    <w:autoRedefine/>
    <w:uiPriority w:val="39"/>
    <w:unhideWhenUsed/>
    <w:rsid w:val="00E27550"/>
    <w:pPr>
      <w:tabs>
        <w:tab w:val="left" w:pos="1170"/>
        <w:tab w:val="right" w:leader="dot" w:pos="9350"/>
      </w:tabs>
      <w:spacing w:after="0"/>
      <w:ind w:left="821" w:hanging="187"/>
      <w:contextualSpacing/>
    </w:pPr>
    <w:rPr>
      <w:noProof/>
      <w:color w:val="000000" w:themeColor="text1"/>
    </w:rPr>
  </w:style>
  <w:style w:type="character" w:styleId="Hyperlink">
    <w:name w:val="Hyperlink"/>
    <w:basedOn w:val="DefaultParagraphFont"/>
    <w:uiPriority w:val="99"/>
    <w:unhideWhenUsed/>
    <w:qFormat/>
    <w:rsid w:val="00BA0440"/>
    <w:rPr>
      <w:color w:val="002A5C"/>
      <w:u w:val="single"/>
    </w:rPr>
  </w:style>
  <w:style w:type="paragraph" w:styleId="ListParagraph">
    <w:name w:val="List Paragraph"/>
    <w:basedOn w:val="Normal"/>
    <w:uiPriority w:val="34"/>
    <w:rsid w:val="00B20690"/>
    <w:pPr>
      <w:ind w:left="720"/>
      <w:contextualSpacing/>
    </w:pPr>
  </w:style>
  <w:style w:type="character" w:styleId="Strong">
    <w:name w:val="Strong"/>
    <w:basedOn w:val="DefaultParagraphFont"/>
    <w:uiPriority w:val="22"/>
    <w:qFormat/>
    <w:rsid w:val="006D1523"/>
    <w:rPr>
      <w:b/>
      <w:bCs/>
    </w:rPr>
  </w:style>
  <w:style w:type="paragraph" w:styleId="TOC4">
    <w:name w:val="toc 4"/>
    <w:basedOn w:val="Normal"/>
    <w:next w:val="Normal"/>
    <w:autoRedefine/>
    <w:uiPriority w:val="39"/>
    <w:unhideWhenUsed/>
    <w:rsid w:val="00E27550"/>
    <w:pPr>
      <w:tabs>
        <w:tab w:val="left" w:pos="1890"/>
        <w:tab w:val="right" w:leader="dot" w:pos="9350"/>
      </w:tabs>
      <w:spacing w:after="0"/>
      <w:ind w:left="1353" w:hanging="187"/>
      <w:contextualSpacing/>
    </w:pPr>
    <w:rPr>
      <w:noProof/>
      <w:color w:val="000000" w:themeColor="text1"/>
    </w:rPr>
  </w:style>
  <w:style w:type="paragraph" w:styleId="TOC5">
    <w:name w:val="toc 5"/>
    <w:basedOn w:val="Normal"/>
    <w:next w:val="Normal"/>
    <w:autoRedefine/>
    <w:uiPriority w:val="39"/>
    <w:unhideWhenUsed/>
    <w:rsid w:val="00D879BF"/>
    <w:pPr>
      <w:tabs>
        <w:tab w:val="left" w:pos="2790"/>
        <w:tab w:val="right" w:leader="dot" w:pos="9350"/>
      </w:tabs>
      <w:spacing w:after="0"/>
      <w:ind w:left="2073" w:hanging="187"/>
      <w:contextualSpacing/>
    </w:pPr>
    <w:rPr>
      <w:noProof/>
      <w:color w:val="000000" w:themeColor="text1"/>
    </w:rPr>
  </w:style>
  <w:style w:type="table" w:styleId="TableGrid">
    <w:name w:val="Table Grid"/>
    <w:basedOn w:val="TableNormal"/>
    <w:uiPriority w:val="59"/>
    <w:rsid w:val="0096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autoRedefine/>
    <w:qFormat/>
    <w:rsid w:val="00E021DD"/>
    <w:pPr>
      <w:spacing w:after="0"/>
      <w:contextualSpacing/>
    </w:pPr>
    <w:rPr>
      <w:b/>
    </w:rPr>
  </w:style>
  <w:style w:type="paragraph" w:customStyle="1" w:styleId="TableText">
    <w:name w:val="Table Text"/>
    <w:basedOn w:val="Normal"/>
    <w:autoRedefine/>
    <w:qFormat/>
    <w:rsid w:val="00E021DD"/>
    <w:pPr>
      <w:spacing w:after="0"/>
      <w:contextualSpacing/>
    </w:pPr>
  </w:style>
  <w:style w:type="paragraph" w:styleId="Header">
    <w:name w:val="header"/>
    <w:basedOn w:val="Normal"/>
    <w:link w:val="HeaderChar"/>
    <w:autoRedefine/>
    <w:uiPriority w:val="99"/>
    <w:unhideWhenUsed/>
    <w:rsid w:val="005D1598"/>
    <w:pPr>
      <w:tabs>
        <w:tab w:val="right" w:pos="9360"/>
      </w:tabs>
      <w:spacing w:after="0"/>
    </w:pPr>
    <w:rPr>
      <w:sz w:val="20"/>
    </w:rPr>
  </w:style>
  <w:style w:type="character" w:customStyle="1" w:styleId="HeaderChar">
    <w:name w:val="Header Char"/>
    <w:basedOn w:val="DefaultParagraphFont"/>
    <w:link w:val="Header"/>
    <w:uiPriority w:val="99"/>
    <w:rsid w:val="005D1598"/>
    <w:rPr>
      <w:rFonts w:ascii="Calibri" w:hAnsi="Calibri"/>
      <w:lang w:val="en-CA"/>
    </w:rPr>
  </w:style>
  <w:style w:type="paragraph" w:styleId="Footer">
    <w:name w:val="footer"/>
    <w:basedOn w:val="Normal"/>
    <w:link w:val="FooterChar"/>
    <w:autoRedefine/>
    <w:uiPriority w:val="99"/>
    <w:unhideWhenUsed/>
    <w:qFormat/>
    <w:rsid w:val="00E021DD"/>
    <w:pPr>
      <w:tabs>
        <w:tab w:val="clear" w:pos="432"/>
        <w:tab w:val="left" w:pos="0"/>
        <w:tab w:val="center" w:pos="4680"/>
        <w:tab w:val="right" w:pos="9360"/>
      </w:tabs>
      <w:spacing w:after="0"/>
      <w:ind w:left="5040" w:hanging="5040"/>
    </w:pPr>
    <w:rPr>
      <w:sz w:val="20"/>
    </w:rPr>
  </w:style>
  <w:style w:type="character" w:customStyle="1" w:styleId="FooterChar">
    <w:name w:val="Footer Char"/>
    <w:basedOn w:val="DefaultParagraphFont"/>
    <w:link w:val="Footer"/>
    <w:uiPriority w:val="99"/>
    <w:rsid w:val="00E021DD"/>
    <w:rPr>
      <w:rFonts w:ascii="Calibri" w:hAnsi="Calibri"/>
      <w:lang w:val="en-CA"/>
    </w:rPr>
  </w:style>
  <w:style w:type="character" w:styleId="Emphasis">
    <w:name w:val="Emphasis"/>
    <w:basedOn w:val="DefaultParagraphFont"/>
    <w:uiPriority w:val="20"/>
    <w:qFormat/>
    <w:rsid w:val="001C4B1A"/>
    <w:rPr>
      <w:i/>
      <w:iCs/>
    </w:rPr>
  </w:style>
  <w:style w:type="paragraph" w:styleId="BalloonText">
    <w:name w:val="Balloon Text"/>
    <w:basedOn w:val="Normal"/>
    <w:link w:val="BalloonTextChar"/>
    <w:uiPriority w:val="99"/>
    <w:semiHidden/>
    <w:unhideWhenUsed/>
    <w:rsid w:val="00F96D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B9"/>
    <w:rPr>
      <w:rFonts w:ascii="Segoe UI" w:hAnsi="Segoe UI" w:cs="Segoe UI"/>
      <w:sz w:val="18"/>
      <w:szCs w:val="18"/>
      <w:lang w:val="en-CA"/>
    </w:rPr>
  </w:style>
  <w:style w:type="character" w:styleId="PlaceholderText">
    <w:name w:val="Placeholder Text"/>
    <w:basedOn w:val="DefaultParagraphFont"/>
    <w:uiPriority w:val="99"/>
    <w:semiHidden/>
    <w:rsid w:val="00102A9B"/>
    <w:rPr>
      <w:color w:val="808080"/>
    </w:rPr>
  </w:style>
  <w:style w:type="paragraph" w:customStyle="1" w:styleId="ListBullet6">
    <w:name w:val="List Bullet 6"/>
    <w:autoRedefine/>
    <w:qFormat/>
    <w:rsid w:val="009F525A"/>
    <w:pPr>
      <w:numPr>
        <w:numId w:val="10"/>
      </w:numPr>
      <w:spacing w:after="0" w:line="240" w:lineRule="auto"/>
      <w:ind w:left="1829" w:hanging="245"/>
      <w:contextualSpacing/>
    </w:pPr>
    <w:rPr>
      <w:rFonts w:ascii="Calibri" w:hAnsi="Calibri"/>
      <w:color w:val="000000" w:themeColor="text1"/>
      <w:sz w:val="24"/>
      <w:lang w:val="en-CA"/>
    </w:rPr>
  </w:style>
  <w:style w:type="paragraph" w:customStyle="1" w:styleId="NumberedList1">
    <w:name w:val="Numbered List 1"/>
    <w:basedOn w:val="ListParagraph"/>
    <w:autoRedefine/>
    <w:qFormat/>
    <w:rsid w:val="00D879BF"/>
    <w:pPr>
      <w:numPr>
        <w:numId w:val="11"/>
      </w:numPr>
      <w:tabs>
        <w:tab w:val="left" w:pos="1577"/>
      </w:tabs>
      <w:spacing w:after="0"/>
      <w:ind w:left="605" w:hanging="245"/>
    </w:pPr>
    <w:rPr>
      <w:color w:val="000000" w:themeColor="text1"/>
    </w:rPr>
  </w:style>
  <w:style w:type="paragraph" w:customStyle="1" w:styleId="NumberedList2">
    <w:name w:val="Numbered List 2"/>
    <w:autoRedefine/>
    <w:qFormat/>
    <w:rsid w:val="00D879BF"/>
    <w:pPr>
      <w:numPr>
        <w:numId w:val="36"/>
      </w:numPr>
      <w:spacing w:after="0"/>
      <w:ind w:left="850" w:hanging="245"/>
      <w:contextualSpacing/>
    </w:pPr>
    <w:rPr>
      <w:rFonts w:ascii="Calibri" w:hAnsi="Calibri"/>
      <w:color w:val="000000" w:themeColor="text1"/>
      <w:sz w:val="24"/>
      <w:lang w:val="en-CA"/>
    </w:rPr>
  </w:style>
  <w:style w:type="paragraph" w:customStyle="1" w:styleId="NumberedList3">
    <w:name w:val="Numbered List 3"/>
    <w:basedOn w:val="NumberedList1"/>
    <w:autoRedefine/>
    <w:qFormat/>
    <w:rsid w:val="00D879BF"/>
    <w:pPr>
      <w:numPr>
        <w:numId w:val="27"/>
      </w:numPr>
      <w:tabs>
        <w:tab w:val="clear" w:pos="1577"/>
      </w:tabs>
      <w:ind w:left="1095" w:hanging="245"/>
    </w:pPr>
  </w:style>
  <w:style w:type="paragraph" w:customStyle="1" w:styleId="TableTextBullet1">
    <w:name w:val="Table Text Bullet 1"/>
    <w:basedOn w:val="ListBullet"/>
    <w:autoRedefine/>
    <w:qFormat/>
    <w:rsid w:val="00E021DD"/>
    <w:pPr>
      <w:ind w:left="162" w:hanging="180"/>
    </w:pPr>
  </w:style>
  <w:style w:type="paragraph" w:customStyle="1" w:styleId="TableTextBullet2">
    <w:name w:val="Table Text Bullet 2"/>
    <w:basedOn w:val="ListBullet2"/>
    <w:autoRedefine/>
    <w:qFormat/>
    <w:rsid w:val="00E021DD"/>
    <w:pPr>
      <w:ind w:left="342" w:hanging="180"/>
    </w:pPr>
  </w:style>
  <w:style w:type="paragraph" w:customStyle="1" w:styleId="TableTextBullet3">
    <w:name w:val="Table Text Bullet 3"/>
    <w:autoRedefine/>
    <w:qFormat/>
    <w:rsid w:val="00E021DD"/>
    <w:pPr>
      <w:numPr>
        <w:numId w:val="18"/>
      </w:numPr>
      <w:spacing w:after="0" w:line="240" w:lineRule="auto"/>
      <w:ind w:left="522" w:hanging="180"/>
    </w:pPr>
    <w:rPr>
      <w:rFonts w:ascii="Calibri" w:hAnsi="Calibri"/>
      <w:sz w:val="24"/>
      <w:lang w:val="en-CA"/>
    </w:rPr>
  </w:style>
  <w:style w:type="paragraph" w:customStyle="1" w:styleId="Heading1nonumber">
    <w:name w:val="Heading 1 no number"/>
    <w:basedOn w:val="Heading1"/>
    <w:autoRedefine/>
    <w:qFormat/>
    <w:rsid w:val="0096295A"/>
    <w:pPr>
      <w:numPr>
        <w:numId w:val="0"/>
      </w:numPr>
      <w:jc w:val="center"/>
    </w:pPr>
  </w:style>
  <w:style w:type="paragraph" w:customStyle="1" w:styleId="Heading2nonumber">
    <w:name w:val="Heading 2 no number"/>
    <w:basedOn w:val="Heading2"/>
    <w:autoRedefine/>
    <w:qFormat/>
    <w:rsid w:val="00324EC6"/>
    <w:pPr>
      <w:numPr>
        <w:ilvl w:val="0"/>
        <w:numId w:val="0"/>
      </w:numPr>
      <w:tabs>
        <w:tab w:val="clear" w:pos="432"/>
        <w:tab w:val="clear" w:pos="720"/>
      </w:tabs>
    </w:pPr>
    <w:rPr>
      <w:sz w:val="28"/>
    </w:rPr>
  </w:style>
  <w:style w:type="paragraph" w:customStyle="1" w:styleId="Heading3nonumber">
    <w:name w:val="Heading 3 no number"/>
    <w:basedOn w:val="Heading3"/>
    <w:autoRedefine/>
    <w:qFormat/>
    <w:rsid w:val="00907EB2"/>
    <w:pPr>
      <w:numPr>
        <w:ilvl w:val="0"/>
        <w:numId w:val="0"/>
      </w:numPr>
      <w:tabs>
        <w:tab w:val="clear" w:pos="432"/>
        <w:tab w:val="clear" w:pos="900"/>
      </w:tabs>
    </w:pPr>
  </w:style>
  <w:style w:type="paragraph" w:customStyle="1" w:styleId="Heading4nonumber">
    <w:name w:val="Heading 4 no number"/>
    <w:basedOn w:val="Heading4"/>
    <w:autoRedefine/>
    <w:qFormat/>
    <w:rsid w:val="00A7581C"/>
    <w:pPr>
      <w:numPr>
        <w:ilvl w:val="0"/>
        <w:numId w:val="0"/>
      </w:numPr>
      <w:tabs>
        <w:tab w:val="clear" w:pos="432"/>
        <w:tab w:val="clear" w:pos="1080"/>
      </w:tabs>
    </w:pPr>
  </w:style>
  <w:style w:type="paragraph" w:customStyle="1" w:styleId="Heading5nonumber">
    <w:name w:val="Heading 5 no number"/>
    <w:basedOn w:val="Heading5"/>
    <w:autoRedefine/>
    <w:qFormat/>
    <w:rsid w:val="00907EB2"/>
    <w:pPr>
      <w:numPr>
        <w:ilvl w:val="0"/>
        <w:numId w:val="0"/>
      </w:numPr>
      <w:tabs>
        <w:tab w:val="clear" w:pos="1166"/>
        <w:tab w:val="left" w:pos="5502"/>
      </w:tabs>
    </w:pPr>
  </w:style>
  <w:style w:type="paragraph" w:customStyle="1" w:styleId="Footnote">
    <w:name w:val="Footnote"/>
    <w:basedOn w:val="Normal"/>
    <w:autoRedefine/>
    <w:qFormat/>
    <w:rsid w:val="00327C46"/>
    <w:rPr>
      <w:bCs/>
      <w:noProof/>
      <w:sz w:val="20"/>
    </w:rPr>
  </w:style>
  <w:style w:type="paragraph" w:customStyle="1" w:styleId="HyperlinkEmphasis">
    <w:name w:val="Hyperlink Emphasis"/>
    <w:basedOn w:val="Normal"/>
    <w:link w:val="HyperlinkEmphasisChar"/>
    <w:autoRedefine/>
    <w:qFormat/>
    <w:rsid w:val="00CB48B0"/>
    <w:rPr>
      <w:i/>
      <w:color w:val="002A5C"/>
      <w:u w:val="single"/>
    </w:rPr>
  </w:style>
  <w:style w:type="character" w:customStyle="1" w:styleId="HyperlinkEmphasisChar">
    <w:name w:val="Hyperlink Emphasis Char"/>
    <w:basedOn w:val="DefaultParagraphFont"/>
    <w:link w:val="HyperlinkEmphasis"/>
    <w:rsid w:val="00CB48B0"/>
    <w:rPr>
      <w:rFonts w:ascii="Calibri" w:hAnsi="Calibri"/>
      <w:i/>
      <w:color w:val="002A5C"/>
      <w:sz w:val="24"/>
      <w:u w:val="single"/>
      <w:lang w:val="en-CA"/>
    </w:rPr>
  </w:style>
  <w:style w:type="character" w:styleId="FollowedHyperlink">
    <w:name w:val="FollowedHyperlink"/>
    <w:basedOn w:val="DefaultParagraphFont"/>
    <w:uiPriority w:val="99"/>
    <w:semiHidden/>
    <w:unhideWhenUsed/>
    <w:rsid w:val="003C16F4"/>
    <w:rPr>
      <w:color w:val="954F72" w:themeColor="followedHyperlink"/>
      <w:u w:val="single"/>
    </w:rPr>
  </w:style>
  <w:style w:type="character" w:styleId="CommentReference">
    <w:name w:val="annotation reference"/>
    <w:basedOn w:val="DefaultParagraphFont"/>
    <w:uiPriority w:val="99"/>
    <w:semiHidden/>
    <w:unhideWhenUsed/>
    <w:rsid w:val="00301042"/>
    <w:rPr>
      <w:sz w:val="16"/>
      <w:szCs w:val="16"/>
    </w:rPr>
  </w:style>
  <w:style w:type="paragraph" w:styleId="CommentText">
    <w:name w:val="annotation text"/>
    <w:basedOn w:val="Normal"/>
    <w:link w:val="CommentTextChar"/>
    <w:uiPriority w:val="99"/>
    <w:semiHidden/>
    <w:unhideWhenUsed/>
    <w:rsid w:val="00301042"/>
    <w:pPr>
      <w:spacing w:line="240" w:lineRule="auto"/>
    </w:pPr>
    <w:rPr>
      <w:sz w:val="20"/>
    </w:rPr>
  </w:style>
  <w:style w:type="character" w:customStyle="1" w:styleId="CommentTextChar">
    <w:name w:val="Comment Text Char"/>
    <w:basedOn w:val="DefaultParagraphFont"/>
    <w:link w:val="CommentText"/>
    <w:uiPriority w:val="99"/>
    <w:semiHidden/>
    <w:rsid w:val="00301042"/>
    <w:rPr>
      <w:rFonts w:ascii="Calibri" w:hAnsi="Calibri"/>
      <w:lang w:val="en-CA"/>
    </w:rPr>
  </w:style>
  <w:style w:type="paragraph" w:styleId="CommentSubject">
    <w:name w:val="annotation subject"/>
    <w:basedOn w:val="CommentText"/>
    <w:next w:val="CommentText"/>
    <w:link w:val="CommentSubjectChar"/>
    <w:uiPriority w:val="99"/>
    <w:semiHidden/>
    <w:unhideWhenUsed/>
    <w:rsid w:val="00301042"/>
    <w:rPr>
      <w:b/>
      <w:bCs/>
    </w:rPr>
  </w:style>
  <w:style w:type="character" w:customStyle="1" w:styleId="CommentSubjectChar">
    <w:name w:val="Comment Subject Char"/>
    <w:basedOn w:val="CommentTextChar"/>
    <w:link w:val="CommentSubject"/>
    <w:uiPriority w:val="99"/>
    <w:semiHidden/>
    <w:rsid w:val="00301042"/>
    <w:rPr>
      <w:rFonts w:ascii="Calibri" w:hAnsi="Calibri"/>
      <w:b/>
      <w:bCs/>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tfa.org/" TargetMode="External"/><Relationship Id="rId18" Type="http://schemas.openxmlformats.org/officeDocument/2006/relationships/hyperlink" Target="http://www.canada.ca/en/employment-social-development/services/sin.html" TargetMode="External"/><Relationship Id="rId26" Type="http://schemas.openxmlformats.org/officeDocument/2006/relationships/hyperlink" Target="https://research.utoronto.ca/media/48/download" TargetMode="External"/><Relationship Id="rId21" Type="http://schemas.openxmlformats.org/officeDocument/2006/relationships/hyperlink" Target="https://hrandequity.utoronto.ca/culture/wellnes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hrandequity.utoronto.ca/careers/benefits/" TargetMode="External"/><Relationship Id="rId17" Type="http://schemas.openxmlformats.org/officeDocument/2006/relationships/hyperlink" Target="mailto:faculty.immigration@utoronto.ca" TargetMode="External"/><Relationship Id="rId25" Type="http://schemas.openxmlformats.org/officeDocument/2006/relationships/hyperlink" Target="https://governingcouncil.utoronto.ca/secretariat/policies/grading-practices-policy-university-assessment-and-january-26-2012" TargetMode="External"/><Relationship Id="rId33" Type="http://schemas.openxmlformats.org/officeDocument/2006/relationships/hyperlink" Target="http://www.ontario.ca/page/posters-required-workplace" TargetMode="External"/><Relationship Id="rId2" Type="http://schemas.openxmlformats.org/officeDocument/2006/relationships/customXml" Target="../customXml/item2.xml"/><Relationship Id="rId16" Type="http://schemas.openxmlformats.org/officeDocument/2006/relationships/hyperlink" Target="http://www.utm.utoronto.ca/asc/" TargetMode="External"/><Relationship Id="rId20" Type="http://schemas.openxmlformats.org/officeDocument/2006/relationships/hyperlink" Target="http://www.uhip.ca" TargetMode="External"/><Relationship Id="rId29" Type="http://schemas.openxmlformats.org/officeDocument/2006/relationships/hyperlink" Target="http://www.governingcouncil.utoronto.ca/Governing_Council/policie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andequity.utoronto.ca/hr-service-centre/" TargetMode="External"/><Relationship Id="rId24" Type="http://schemas.openxmlformats.org/officeDocument/2006/relationships/hyperlink" Target="https://governingcouncil.utoronto.ca/secretariat/policies/human-subjects-policy-research-involving-june-29-2000" TargetMode="External"/><Relationship Id="rId32" Type="http://schemas.openxmlformats.org/officeDocument/2006/relationships/hyperlink" Target="https://hrandequity.utoronto.ca/policie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eaching.utoronto.ca" TargetMode="External"/><Relationship Id="rId23" Type="http://schemas.openxmlformats.org/officeDocument/2006/relationships/hyperlink" Target="https://governingcouncil.utoronto.ca/secretariat/policies/research-policy-ethical-conduct-march-28-1991" TargetMode="External"/><Relationship Id="rId28" Type="http://schemas.openxmlformats.org/officeDocument/2006/relationships/hyperlink" Target="https://governingcouncil.utoronto.ca/secretariat/policies/freedom-speech-statement-protection-may-28-1992"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acultyrelocation.utoronto.ca" TargetMode="External"/><Relationship Id="rId31" Type="http://schemas.openxmlformats.org/officeDocument/2006/relationships/hyperlink" Target="https://hrandequity.utoronto.ca/wp-content/uploads/sites/34/2016/04/Manual-of-Staff-Policies-for-Academics-and-Libraria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utoronto.ca/funding-opportunities/overview" TargetMode="External"/><Relationship Id="rId22" Type="http://schemas.openxmlformats.org/officeDocument/2006/relationships/hyperlink" Target="https://hrandequity.utoronto.ca/inclusion/accessibility/accommodation/accommodation-guidelines-for-employees-with-disabilities/" TargetMode="External"/><Relationship Id="rId27" Type="http://schemas.openxmlformats.org/officeDocument/2006/relationships/hyperlink" Target="https://governingcouncil.utoronto.ca/secretariat/policies/publication-policy-may-30-2007" TargetMode="External"/><Relationship Id="rId30" Type="http://schemas.openxmlformats.org/officeDocument/2006/relationships/hyperlink" Target="http://www.provost.utoronto.ca/planning-policy/"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9DF92F16D27E4FB952776F95C6DA47" ma:contentTypeVersion="2" ma:contentTypeDescription="Create a new document." ma:contentTypeScope="" ma:versionID="a4509057f573997bd2bc1ba83734f9aa">
  <xsd:schema xmlns:xsd="http://www.w3.org/2001/XMLSchema" xmlns:xs="http://www.w3.org/2001/XMLSchema" xmlns:p="http://schemas.microsoft.com/office/2006/metadata/properties" targetNamespace="http://schemas.microsoft.com/office/2006/metadata/properties" ma:root="true" ma:fieldsID="d540c9db9cf7a444d73bdfc2a9c401e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6AB44-D2FB-4768-962E-13E765AA56D1}">
  <ds:schemaRefs>
    <ds:schemaRef ds:uri="http://schemas.microsoft.com/sharepoint/v3/contenttype/forms"/>
  </ds:schemaRefs>
</ds:datastoreItem>
</file>

<file path=customXml/itemProps2.xml><?xml version="1.0" encoding="utf-8"?>
<ds:datastoreItem xmlns:ds="http://schemas.openxmlformats.org/officeDocument/2006/customXml" ds:itemID="{936BE25B-2E17-4922-9544-9AEA2D3A3DB6}">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www.w3.org/XML/1998/namespace"/>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AA374A6C-8CE1-4298-BA6C-544013D94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F9F11A5-15A9-4CE0-9D35-FD8BC65E3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3029</Words>
  <Characters>17267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Tenure Stream at the Rank of Assistant Professor</vt:lpstr>
    </vt:vector>
  </TitlesOfParts>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Tenure Stream at the Rank of Assistant Professor</dc:title>
  <dc:subject/>
  <dc:creator>vp.fal@utoronto.ca</dc:creator>
  <cp:keywords/>
  <dc:description/>
  <cp:lastModifiedBy>Sarah Chapple</cp:lastModifiedBy>
  <cp:revision>23</cp:revision>
  <cp:lastPrinted>2016-02-23T18:53:00Z</cp:lastPrinted>
  <dcterms:created xsi:type="dcterms:W3CDTF">2020-08-25T23:56:00Z</dcterms:created>
  <dcterms:modified xsi:type="dcterms:W3CDTF">2021-06-08T14:52:00Z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0x0101006A9DF92F16D27E4FB952776F95C6DA47</vt:lpwstr>
  </property>
</Properties>
</file>