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CC" w:rsidRDefault="00E7235A">
      <w:pPr>
        <w:pStyle w:val="BodyText"/>
        <w:ind w:left="19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527280" cy="6484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280" cy="648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ECC" w:rsidRDefault="00253ECC">
      <w:pPr>
        <w:pStyle w:val="BodyText"/>
        <w:rPr>
          <w:rFonts w:ascii="Times New Roman"/>
          <w:sz w:val="20"/>
        </w:rPr>
      </w:pPr>
    </w:p>
    <w:p w:rsidR="00253ECC" w:rsidRDefault="00253ECC">
      <w:pPr>
        <w:pStyle w:val="BodyText"/>
        <w:spacing w:before="6"/>
        <w:rPr>
          <w:rFonts w:ascii="Times New Roman"/>
          <w:sz w:val="17"/>
        </w:rPr>
      </w:pPr>
    </w:p>
    <w:p w:rsidR="00253ECC" w:rsidRDefault="00E7235A">
      <w:pPr>
        <w:spacing w:before="43"/>
        <w:ind w:left="4567" w:right="4127"/>
        <w:jc w:val="center"/>
        <w:rPr>
          <w:b/>
          <w:sz w:val="28"/>
        </w:rPr>
      </w:pPr>
      <w:r>
        <w:rPr>
          <w:b/>
          <w:color w:val="1F4E79"/>
          <w:sz w:val="28"/>
          <w:u w:val="single" w:color="1E4E79"/>
        </w:rPr>
        <w:t>Gift Cards</w:t>
      </w:r>
    </w:p>
    <w:p w:rsidR="00253ECC" w:rsidRDefault="00253ECC">
      <w:pPr>
        <w:pStyle w:val="BodyText"/>
        <w:spacing w:before="1"/>
        <w:rPr>
          <w:b/>
          <w:sz w:val="11"/>
        </w:rPr>
      </w:pPr>
    </w:p>
    <w:p w:rsidR="00253ECC" w:rsidRDefault="00E7235A">
      <w:pPr>
        <w:pStyle w:val="BodyText"/>
        <w:spacing w:before="56" w:line="278" w:lineRule="auto"/>
        <w:ind w:left="120" w:right="366"/>
      </w:pPr>
      <w:r>
        <w:t>Gift Cards Gift cards (unlike actual gifts) are taxable benefits because they are similar to cash. Department managers/supervisors must contact UTM Payroll and provide the name of the recipient and the value of the card to ensure the taxable benefit is assessed. P cards should not be used to purchase gift cards. The list of recipients who received the gift cards should be attached to the expense reimbursement.</w:t>
      </w:r>
    </w:p>
    <w:p w:rsidR="00253ECC" w:rsidRDefault="00253ECC">
      <w:pPr>
        <w:pStyle w:val="BodyText"/>
      </w:pPr>
    </w:p>
    <w:p w:rsidR="00253ECC" w:rsidRDefault="00253ECC">
      <w:pPr>
        <w:pStyle w:val="BodyText"/>
        <w:spacing w:before="5"/>
        <w:rPr>
          <w:sz w:val="27"/>
        </w:rPr>
      </w:pPr>
    </w:p>
    <w:p w:rsidR="00253ECC" w:rsidRDefault="00E7235A">
      <w:pPr>
        <w:pStyle w:val="Heading1"/>
      </w:pPr>
      <w:r>
        <w:rPr>
          <w:color w:val="1F4E79"/>
        </w:rPr>
        <w:t>Gift Cards, Physical Gifts, Awards and Job Performance Recognition</w:t>
      </w:r>
    </w:p>
    <w:p w:rsidR="003632FA" w:rsidRDefault="00E7235A">
      <w:pPr>
        <w:pStyle w:val="BodyText"/>
        <w:spacing w:before="178" w:line="259" w:lineRule="auto"/>
        <w:ind w:left="120" w:right="424"/>
      </w:pPr>
      <w:r>
        <w:t xml:space="preserve">P cards should not be used to purchase gift cards. Receipts for Gift Cards must include a list of names of the recipients or written confirmation from the recipients that they received the gift card. For taxable items, the department must </w:t>
      </w:r>
      <w:r w:rsidR="004A5732">
        <w:t xml:space="preserve">obtain and </w:t>
      </w:r>
      <w:r>
        <w:t xml:space="preserve">submit </w:t>
      </w:r>
      <w:r w:rsidR="004A5732">
        <w:t>to UTM Payroll the HRIS Taxable Benefit form.</w:t>
      </w:r>
      <w:r>
        <w:t xml:space="preserve"> </w:t>
      </w:r>
    </w:p>
    <w:p w:rsidR="004A5732" w:rsidRDefault="003632FA" w:rsidP="004A5732">
      <w:pPr>
        <w:pStyle w:val="BodyText"/>
        <w:keepNext/>
        <w:tabs>
          <w:tab w:val="left" w:pos="531"/>
        </w:tabs>
        <w:spacing w:line="259" w:lineRule="auto"/>
        <w:ind w:left="115" w:right="418"/>
      </w:pPr>
      <w:r>
        <w:tab/>
      </w:r>
    </w:p>
    <w:p w:rsidR="00253ECC" w:rsidRDefault="006F3BE7" w:rsidP="004A5732">
      <w:pPr>
        <w:pStyle w:val="BodyText"/>
        <w:keepNext/>
        <w:tabs>
          <w:tab w:val="left" w:pos="531"/>
        </w:tabs>
        <w:spacing w:before="178" w:line="259" w:lineRule="auto"/>
        <w:ind w:left="120" w:right="424"/>
      </w:pPr>
      <w:r>
        <w:t>N</w:t>
      </w:r>
      <w:r w:rsidR="00E7235A">
        <w:t>ote an advantage of True Blue over gift cards is that central HR completes and submits the T4A form for you. If the recipient has received a total of less than $500 from all sources at U of T, a T4A form is not</w:t>
      </w:r>
      <w:r w:rsidR="00E7235A">
        <w:rPr>
          <w:spacing w:val="-10"/>
        </w:rPr>
        <w:t xml:space="preserve"> </w:t>
      </w:r>
      <w:r w:rsidR="00E7235A">
        <w:t>required.</w:t>
      </w:r>
    </w:p>
    <w:p w:rsidR="00253ECC" w:rsidRDefault="00E7235A">
      <w:pPr>
        <w:spacing w:before="164"/>
        <w:ind w:left="120"/>
        <w:rPr>
          <w:b/>
        </w:rPr>
      </w:pPr>
      <w:r>
        <w:rPr>
          <w:b/>
        </w:rPr>
        <w:t>Taxability</w:t>
      </w:r>
    </w:p>
    <w:p w:rsidR="00253ECC" w:rsidRDefault="00253ECC">
      <w:pPr>
        <w:pStyle w:val="BodyText"/>
        <w:rPr>
          <w:b/>
          <w:sz w:val="14"/>
        </w:rPr>
      </w:pPr>
    </w:p>
    <w:tbl>
      <w:tblPr>
        <w:tblW w:w="0" w:type="auto"/>
        <w:tblInd w:w="130" w:type="dxa"/>
        <w:tblBorders>
          <w:top w:val="single" w:sz="8" w:space="0" w:color="8EAADB"/>
          <w:left w:val="single" w:sz="8" w:space="0" w:color="8EAADB"/>
          <w:bottom w:val="single" w:sz="8" w:space="0" w:color="8EAADB"/>
          <w:right w:val="single" w:sz="8" w:space="0" w:color="8EAADB"/>
          <w:insideH w:val="single" w:sz="8" w:space="0" w:color="8EAADB"/>
          <w:insideV w:val="single" w:sz="8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790"/>
        <w:gridCol w:w="2607"/>
        <w:gridCol w:w="2833"/>
      </w:tblGrid>
      <w:tr w:rsidR="00253ECC">
        <w:trPr>
          <w:trHeight w:val="59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253ECC" w:rsidRDefault="00E7235A">
            <w:pPr>
              <w:pStyle w:val="TableParagraph"/>
              <w:spacing w:before="30"/>
              <w:ind w:left="19"/>
              <w:rPr>
                <w:b/>
              </w:rPr>
            </w:pPr>
            <w:r>
              <w:rPr>
                <w:b/>
                <w:color w:val="FFFFFF"/>
              </w:rPr>
              <w:t>Item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253ECC" w:rsidRDefault="00E7235A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  <w:color w:val="FFFFFF"/>
              </w:rPr>
              <w:t>Defined as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253ECC" w:rsidRDefault="00E7235A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  <w:color w:val="FFFFFF"/>
              </w:rPr>
              <w:t>Is it taxable?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253ECC" w:rsidRDefault="00E7235A">
            <w:pPr>
              <w:pStyle w:val="TableParagraph"/>
              <w:spacing w:before="30"/>
              <w:ind w:left="9"/>
              <w:rPr>
                <w:b/>
              </w:rPr>
            </w:pPr>
            <w:r>
              <w:rPr>
                <w:b/>
                <w:color w:val="FFFFFF"/>
              </w:rPr>
              <w:t>Examples</w:t>
            </w:r>
          </w:p>
        </w:tc>
      </w:tr>
      <w:tr w:rsidR="00253ECC">
        <w:trPr>
          <w:trHeight w:val="1291"/>
        </w:trPr>
        <w:tc>
          <w:tcPr>
            <w:tcW w:w="1407" w:type="dxa"/>
            <w:tcBorders>
              <w:top w:val="nil"/>
            </w:tcBorders>
            <w:shd w:val="clear" w:color="auto" w:fill="D9E1F3"/>
          </w:tcPr>
          <w:p w:rsidR="00253ECC" w:rsidRDefault="00E7235A">
            <w:pPr>
              <w:pStyle w:val="TableParagraph"/>
              <w:spacing w:line="266" w:lineRule="auto"/>
              <w:ind w:left="9" w:right="473"/>
              <w:rPr>
                <w:b/>
              </w:rPr>
            </w:pPr>
            <w:r>
              <w:rPr>
                <w:b/>
              </w:rPr>
              <w:t>Near- cash Gifts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D9E1F3"/>
          </w:tcPr>
          <w:p w:rsidR="00253ECC" w:rsidRDefault="00E7235A">
            <w:pPr>
              <w:pStyle w:val="TableParagraph"/>
              <w:spacing w:line="266" w:lineRule="auto"/>
              <w:ind w:left="-1" w:right="456"/>
            </w:pPr>
            <w:r>
              <w:t>Any gift that can be easily converted to cash</w:t>
            </w:r>
          </w:p>
        </w:tc>
        <w:tc>
          <w:tcPr>
            <w:tcW w:w="2607" w:type="dxa"/>
            <w:tcBorders>
              <w:top w:val="nil"/>
            </w:tcBorders>
            <w:shd w:val="clear" w:color="auto" w:fill="D9E1F3"/>
          </w:tcPr>
          <w:p w:rsidR="00253ECC" w:rsidRDefault="00E7235A">
            <w:pPr>
              <w:pStyle w:val="TableParagraph"/>
              <w:spacing w:before="6"/>
              <w:ind w:left="0" w:right="977"/>
              <w:jc w:val="right"/>
            </w:pPr>
            <w:r>
              <w:t>Always</w:t>
            </w:r>
          </w:p>
        </w:tc>
        <w:tc>
          <w:tcPr>
            <w:tcW w:w="2833" w:type="dxa"/>
            <w:tcBorders>
              <w:top w:val="nil"/>
            </w:tcBorders>
            <w:shd w:val="clear" w:color="auto" w:fill="D9E1F3"/>
          </w:tcPr>
          <w:p w:rsidR="00253ECC" w:rsidRDefault="00E7235A">
            <w:pPr>
              <w:pStyle w:val="TableParagraph"/>
              <w:numPr>
                <w:ilvl w:val="0"/>
                <w:numId w:val="5"/>
              </w:numPr>
              <w:tabs>
                <w:tab w:val="left" w:pos="720"/>
                <w:tab w:val="left" w:pos="721"/>
              </w:tabs>
              <w:spacing w:before="0" w:line="280" w:lineRule="exact"/>
              <w:ind w:hanging="361"/>
            </w:pPr>
            <w:r>
              <w:t>Gift</w:t>
            </w:r>
            <w:r>
              <w:rPr>
                <w:spacing w:val="-4"/>
              </w:rPr>
              <w:t xml:space="preserve"> </w:t>
            </w:r>
            <w:r>
              <w:t>Cards</w:t>
            </w:r>
          </w:p>
          <w:p w:rsidR="00253ECC" w:rsidRDefault="00E7235A">
            <w:pPr>
              <w:pStyle w:val="TableParagraph"/>
              <w:numPr>
                <w:ilvl w:val="0"/>
                <w:numId w:val="5"/>
              </w:numPr>
              <w:tabs>
                <w:tab w:val="left" w:pos="720"/>
                <w:tab w:val="left" w:pos="721"/>
              </w:tabs>
              <w:spacing w:before="3"/>
              <w:ind w:right="449"/>
            </w:pPr>
            <w:r>
              <w:t xml:space="preserve">Points on the </w:t>
            </w:r>
            <w:r>
              <w:rPr>
                <w:spacing w:val="-4"/>
              </w:rPr>
              <w:t xml:space="preserve">True </w:t>
            </w:r>
            <w:r>
              <w:t>Blue</w:t>
            </w:r>
            <w:r>
              <w:rPr>
                <w:spacing w:val="-3"/>
              </w:rPr>
              <w:t xml:space="preserve"> </w:t>
            </w:r>
            <w:r>
              <w:t>Platform</w:t>
            </w:r>
          </w:p>
        </w:tc>
      </w:tr>
      <w:tr w:rsidR="00253ECC">
        <w:trPr>
          <w:trHeight w:val="1295"/>
        </w:trPr>
        <w:tc>
          <w:tcPr>
            <w:tcW w:w="1407" w:type="dxa"/>
          </w:tcPr>
          <w:p w:rsidR="00253ECC" w:rsidRDefault="00E7235A">
            <w:pPr>
              <w:pStyle w:val="TableParagraph"/>
              <w:spacing w:before="6"/>
              <w:ind w:left="9"/>
              <w:rPr>
                <w:b/>
              </w:rPr>
            </w:pPr>
            <w:r>
              <w:rPr>
                <w:b/>
              </w:rPr>
              <w:t>Physical Gifts</w:t>
            </w:r>
          </w:p>
        </w:tc>
        <w:tc>
          <w:tcPr>
            <w:tcW w:w="2790" w:type="dxa"/>
          </w:tcPr>
          <w:p w:rsidR="00253ECC" w:rsidRDefault="00E7235A">
            <w:pPr>
              <w:pStyle w:val="TableParagraph"/>
              <w:spacing w:line="261" w:lineRule="auto"/>
              <w:ind w:left="-1" w:right="255"/>
            </w:pPr>
            <w:r>
              <w:t>Something for a special occasion, such as a religious holiday, wedding, etc.</w:t>
            </w:r>
          </w:p>
        </w:tc>
        <w:tc>
          <w:tcPr>
            <w:tcW w:w="2607" w:type="dxa"/>
          </w:tcPr>
          <w:p w:rsidR="00253ECC" w:rsidRDefault="0095301A">
            <w:pPr>
              <w:pStyle w:val="TableParagraph"/>
              <w:spacing w:line="261" w:lineRule="auto"/>
              <w:ind w:left="167" w:right="166" w:firstLine="24"/>
              <w:jc w:val="both"/>
              <w:rPr>
                <w:i/>
              </w:rPr>
            </w:pPr>
            <w:r>
              <w:t>Tota</w:t>
            </w:r>
            <w:r w:rsidR="00E7235A">
              <w:t xml:space="preserve">ling under $500 per year </w:t>
            </w:r>
            <w:r w:rsidR="00E7235A">
              <w:rPr>
                <w:b/>
              </w:rPr>
              <w:t xml:space="preserve">are </w:t>
            </w:r>
            <w:r w:rsidR="00E7235A">
              <w:t xml:space="preserve">exempt – </w:t>
            </w:r>
            <w:r w:rsidR="00E7235A">
              <w:rPr>
                <w:i/>
              </w:rPr>
              <w:t>please see administrative policy</w:t>
            </w:r>
          </w:p>
        </w:tc>
        <w:tc>
          <w:tcPr>
            <w:tcW w:w="2833" w:type="dxa"/>
          </w:tcPr>
          <w:p w:rsidR="00253ECC" w:rsidRDefault="00E7235A">
            <w:pPr>
              <w:pStyle w:val="TableParagraph"/>
              <w:numPr>
                <w:ilvl w:val="0"/>
                <w:numId w:val="4"/>
              </w:numPr>
              <w:tabs>
                <w:tab w:val="left" w:pos="720"/>
                <w:tab w:val="left" w:pos="721"/>
              </w:tabs>
              <w:spacing w:before="0" w:line="279" w:lineRule="exact"/>
              <w:ind w:hanging="361"/>
            </w:pPr>
            <w:r>
              <w:t>Holiday Gift</w:t>
            </w:r>
            <w:r>
              <w:rPr>
                <w:spacing w:val="-7"/>
              </w:rPr>
              <w:t xml:space="preserve"> </w:t>
            </w:r>
            <w:r>
              <w:t>Basket</w:t>
            </w:r>
          </w:p>
          <w:p w:rsidR="00253ECC" w:rsidRDefault="00E7235A">
            <w:pPr>
              <w:pStyle w:val="TableParagraph"/>
              <w:numPr>
                <w:ilvl w:val="0"/>
                <w:numId w:val="4"/>
              </w:numPr>
              <w:tabs>
                <w:tab w:val="left" w:pos="720"/>
                <w:tab w:val="left" w:pos="721"/>
              </w:tabs>
              <w:spacing w:before="3" w:line="279" w:lineRule="exact"/>
              <w:ind w:hanging="361"/>
            </w:pPr>
            <w:r>
              <w:t>Vase</w:t>
            </w:r>
          </w:p>
          <w:p w:rsidR="00253ECC" w:rsidRDefault="00E7235A">
            <w:pPr>
              <w:pStyle w:val="TableParagraph"/>
              <w:numPr>
                <w:ilvl w:val="0"/>
                <w:numId w:val="4"/>
              </w:numPr>
              <w:tabs>
                <w:tab w:val="left" w:pos="720"/>
                <w:tab w:val="left" w:pos="721"/>
              </w:tabs>
              <w:spacing w:before="0" w:line="279" w:lineRule="exact"/>
              <w:ind w:hanging="361"/>
            </w:pPr>
            <w:r>
              <w:t>Voucher</w:t>
            </w:r>
          </w:p>
        </w:tc>
      </w:tr>
      <w:tr w:rsidR="00253ECC">
        <w:trPr>
          <w:trHeight w:val="1737"/>
        </w:trPr>
        <w:tc>
          <w:tcPr>
            <w:tcW w:w="1407" w:type="dxa"/>
            <w:shd w:val="clear" w:color="auto" w:fill="D9E1F3"/>
          </w:tcPr>
          <w:p w:rsidR="00253ECC" w:rsidRDefault="00E7235A">
            <w:pPr>
              <w:pStyle w:val="TableParagraph"/>
              <w:spacing w:before="11"/>
              <w:ind w:left="9"/>
              <w:rPr>
                <w:b/>
              </w:rPr>
            </w:pPr>
            <w:r>
              <w:rPr>
                <w:b/>
              </w:rPr>
              <w:t>Awards</w:t>
            </w:r>
          </w:p>
        </w:tc>
        <w:tc>
          <w:tcPr>
            <w:tcW w:w="2790" w:type="dxa"/>
            <w:shd w:val="clear" w:color="auto" w:fill="D9E1F3"/>
          </w:tcPr>
          <w:p w:rsidR="00253ECC" w:rsidRDefault="00E7235A">
            <w:pPr>
              <w:pStyle w:val="TableParagraph"/>
              <w:spacing w:before="6" w:line="259" w:lineRule="auto"/>
              <w:ind w:left="-1" w:right="91"/>
            </w:pPr>
            <w:r>
              <w:t>Formal process of recognition of an employee’s overall contribution to the workplace.</w:t>
            </w:r>
          </w:p>
        </w:tc>
        <w:tc>
          <w:tcPr>
            <w:tcW w:w="2607" w:type="dxa"/>
            <w:shd w:val="clear" w:color="auto" w:fill="D9E1F3"/>
          </w:tcPr>
          <w:p w:rsidR="00253ECC" w:rsidRDefault="0095301A">
            <w:pPr>
              <w:pStyle w:val="TableParagraph"/>
              <w:spacing w:before="6" w:line="259" w:lineRule="auto"/>
              <w:ind w:left="167" w:right="166" w:firstLine="24"/>
              <w:jc w:val="both"/>
              <w:rPr>
                <w:i/>
              </w:rPr>
            </w:pPr>
            <w:r>
              <w:t>Tota</w:t>
            </w:r>
            <w:r w:rsidR="00E7235A">
              <w:t xml:space="preserve">ling under $500 per year </w:t>
            </w:r>
            <w:r w:rsidR="00E7235A">
              <w:rPr>
                <w:b/>
              </w:rPr>
              <w:t xml:space="preserve">are </w:t>
            </w:r>
            <w:r w:rsidR="00E7235A">
              <w:t xml:space="preserve">exempt – </w:t>
            </w:r>
            <w:r w:rsidR="00E7235A">
              <w:rPr>
                <w:i/>
              </w:rPr>
              <w:t>please see administrative policy</w:t>
            </w:r>
          </w:p>
        </w:tc>
        <w:tc>
          <w:tcPr>
            <w:tcW w:w="2833" w:type="dxa"/>
            <w:shd w:val="clear" w:color="auto" w:fill="D9E1F3"/>
          </w:tcPr>
          <w:p w:rsidR="00253ECC" w:rsidRDefault="00E7235A">
            <w:pPr>
              <w:pStyle w:val="TableParagraph"/>
              <w:numPr>
                <w:ilvl w:val="0"/>
                <w:numId w:val="3"/>
              </w:numPr>
              <w:tabs>
                <w:tab w:val="left" w:pos="720"/>
                <w:tab w:val="left" w:pos="721"/>
              </w:tabs>
              <w:spacing w:before="4" w:line="279" w:lineRule="exact"/>
              <w:ind w:hanging="361"/>
            </w:pPr>
            <w:r>
              <w:t>Chancellor’s</w:t>
            </w:r>
            <w:r>
              <w:rPr>
                <w:spacing w:val="-1"/>
              </w:rPr>
              <w:t xml:space="preserve"> </w:t>
            </w:r>
            <w:r>
              <w:t>Awards</w:t>
            </w:r>
          </w:p>
          <w:p w:rsidR="00253ECC" w:rsidRDefault="00E7235A">
            <w:pPr>
              <w:pStyle w:val="TableParagraph"/>
              <w:numPr>
                <w:ilvl w:val="0"/>
                <w:numId w:val="3"/>
              </w:numPr>
              <w:tabs>
                <w:tab w:val="left" w:pos="720"/>
                <w:tab w:val="left" w:pos="721"/>
              </w:tabs>
              <w:spacing w:before="0"/>
              <w:ind w:right="766"/>
            </w:pPr>
            <w:r>
              <w:t>Divisional Staff Awards</w:t>
            </w:r>
          </w:p>
        </w:tc>
      </w:tr>
      <w:tr w:rsidR="00253ECC">
        <w:trPr>
          <w:trHeight w:val="1127"/>
        </w:trPr>
        <w:tc>
          <w:tcPr>
            <w:tcW w:w="1407" w:type="dxa"/>
          </w:tcPr>
          <w:p w:rsidR="00253ECC" w:rsidRDefault="00E7235A">
            <w:pPr>
              <w:pStyle w:val="TableParagraph"/>
              <w:spacing w:line="261" w:lineRule="auto"/>
              <w:ind w:left="9" w:right="177"/>
              <w:rPr>
                <w:b/>
              </w:rPr>
            </w:pPr>
            <w:r>
              <w:rPr>
                <w:b/>
              </w:rPr>
              <w:t>Job Performance Recognition</w:t>
            </w:r>
          </w:p>
        </w:tc>
        <w:tc>
          <w:tcPr>
            <w:tcW w:w="2790" w:type="dxa"/>
          </w:tcPr>
          <w:p w:rsidR="00253ECC" w:rsidRDefault="00E7235A">
            <w:pPr>
              <w:pStyle w:val="TableParagraph"/>
              <w:spacing w:line="261" w:lineRule="auto"/>
              <w:ind w:left="-1" w:right="-15"/>
            </w:pPr>
            <w:r>
              <w:t xml:space="preserve">Informal process for rewarding employees for the </w:t>
            </w:r>
            <w:r w:rsidR="0095301A">
              <w:t>caliber</w:t>
            </w:r>
            <w:r>
              <w:t xml:space="preserve"> of their work.</w:t>
            </w:r>
          </w:p>
        </w:tc>
        <w:tc>
          <w:tcPr>
            <w:tcW w:w="2607" w:type="dxa"/>
          </w:tcPr>
          <w:p w:rsidR="00253ECC" w:rsidRDefault="00E7235A">
            <w:pPr>
              <w:pStyle w:val="TableParagraph"/>
              <w:spacing w:before="6"/>
              <w:ind w:left="0" w:right="977"/>
              <w:jc w:val="right"/>
            </w:pPr>
            <w:r>
              <w:t>Always</w:t>
            </w:r>
          </w:p>
        </w:tc>
        <w:tc>
          <w:tcPr>
            <w:tcW w:w="2833" w:type="dxa"/>
          </w:tcPr>
          <w:p w:rsidR="00253ECC" w:rsidRDefault="00E7235A">
            <w:pPr>
              <w:pStyle w:val="TableParagraph"/>
              <w:numPr>
                <w:ilvl w:val="0"/>
                <w:numId w:val="2"/>
              </w:numPr>
              <w:tabs>
                <w:tab w:val="left" w:pos="720"/>
                <w:tab w:val="left" w:pos="721"/>
              </w:tabs>
              <w:spacing w:before="0"/>
              <w:ind w:right="191"/>
            </w:pPr>
            <w:r>
              <w:t>One Time Only</w:t>
            </w:r>
            <w:r>
              <w:rPr>
                <w:spacing w:val="-17"/>
              </w:rPr>
              <w:t xml:space="preserve"> </w:t>
            </w:r>
            <w:r>
              <w:t>(OTO) payments</w:t>
            </w:r>
          </w:p>
        </w:tc>
      </w:tr>
    </w:tbl>
    <w:p w:rsidR="00253ECC" w:rsidRDefault="00253ECC">
      <w:pPr>
        <w:sectPr w:rsidR="00253ECC">
          <w:type w:val="continuous"/>
          <w:pgSz w:w="12240" w:h="15840"/>
          <w:pgMar w:top="680" w:right="1040" w:bottom="280" w:left="1320" w:header="720" w:footer="720" w:gutter="0"/>
          <w:cols w:space="720"/>
        </w:sectPr>
      </w:pPr>
    </w:p>
    <w:p w:rsidR="00253ECC" w:rsidRDefault="00E7235A">
      <w:pPr>
        <w:spacing w:before="42"/>
        <w:ind w:left="120"/>
        <w:rPr>
          <w:b/>
        </w:rPr>
      </w:pPr>
      <w:r>
        <w:rPr>
          <w:b/>
          <w:color w:val="1F4E79"/>
        </w:rPr>
        <w:lastRenderedPageBreak/>
        <w:t>Canada Revenue Agency (CRA) Administrative Policy</w:t>
      </w:r>
    </w:p>
    <w:p w:rsidR="00253ECC" w:rsidRDefault="00E7235A">
      <w:pPr>
        <w:pStyle w:val="BodyText"/>
        <w:spacing w:before="5"/>
        <w:ind w:left="120"/>
      </w:pPr>
      <w:r>
        <w:t>CRA has an administrative policy that exempts physical gifts and awards in some cases:</w:t>
      </w:r>
    </w:p>
    <w:p w:rsidR="00253ECC" w:rsidRDefault="00E7235A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78"/>
        <w:ind w:hanging="361"/>
        <w:rPr>
          <w:rFonts w:ascii="Symbol" w:hAnsi="Symbol"/>
          <w:sz w:val="20"/>
        </w:rPr>
      </w:pPr>
      <w:r>
        <w:t>Physical gifts and awards that, in total, are less than $500 per year are not</w:t>
      </w:r>
      <w:r>
        <w:rPr>
          <w:spacing w:val="-28"/>
        </w:rPr>
        <w:t xml:space="preserve"> </w:t>
      </w:r>
      <w:r>
        <w:t>taxable</w:t>
      </w:r>
    </w:p>
    <w:p w:rsidR="00253ECC" w:rsidRDefault="00E7235A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"/>
        <w:ind w:right="1054"/>
        <w:rPr>
          <w:rFonts w:ascii="Symbol" w:hAnsi="Symbol"/>
          <w:sz w:val="20"/>
        </w:rPr>
      </w:pPr>
      <w:r>
        <w:t>For physical gifts and awards that, in total, exceed $500 per year, the amount above $500 is a taxable</w:t>
      </w:r>
      <w:r>
        <w:rPr>
          <w:spacing w:val="-2"/>
        </w:rPr>
        <w:t xml:space="preserve"> </w:t>
      </w:r>
      <w:r>
        <w:t>benefit</w:t>
      </w:r>
    </w:p>
    <w:p w:rsidR="00253ECC" w:rsidRDefault="00253ECC">
      <w:pPr>
        <w:pStyle w:val="BodyText"/>
        <w:spacing w:before="8"/>
        <w:rPr>
          <w:sz w:val="19"/>
        </w:rPr>
      </w:pPr>
    </w:p>
    <w:p w:rsidR="00253ECC" w:rsidRDefault="00E7235A">
      <w:pPr>
        <w:pStyle w:val="Heading1"/>
      </w:pPr>
      <w:r>
        <w:rPr>
          <w:color w:val="1F4E79"/>
        </w:rPr>
        <w:t>Examples of near-cash gifts, physical gifts and awards:</w:t>
      </w:r>
    </w:p>
    <w:p w:rsidR="00253ECC" w:rsidRDefault="00253ECC">
      <w:pPr>
        <w:pStyle w:val="BodyText"/>
        <w:spacing w:before="1"/>
        <w:rPr>
          <w:b/>
          <w:sz w:val="19"/>
        </w:rPr>
      </w:pPr>
    </w:p>
    <w:p w:rsidR="00253ECC" w:rsidRDefault="00E7235A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" w:line="244" w:lineRule="auto"/>
        <w:ind w:right="539"/>
        <w:rPr>
          <w:rFonts w:ascii="Symbol" w:hAnsi="Symbol"/>
        </w:rPr>
      </w:pPr>
      <w:r>
        <w:t xml:space="preserve">A gift card that an employee can use to purchase whatever is available from the retailer, regardless of the cost, is a near-cash gift and therefore </w:t>
      </w:r>
      <w:r>
        <w:rPr>
          <w:b/>
          <w:u w:val="single"/>
        </w:rPr>
        <w:t>is</w:t>
      </w:r>
      <w:r>
        <w:rPr>
          <w:b/>
        </w:rPr>
        <w:t xml:space="preserve"> </w:t>
      </w:r>
      <w:r>
        <w:t>a taxable</w:t>
      </w:r>
      <w:r>
        <w:rPr>
          <w:spacing w:val="-16"/>
        </w:rPr>
        <w:t xml:space="preserve"> </w:t>
      </w:r>
      <w:r>
        <w:t>benefit</w:t>
      </w:r>
    </w:p>
    <w:p w:rsidR="00253ECC" w:rsidRDefault="00E7235A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right="697"/>
        <w:rPr>
          <w:rFonts w:ascii="Symbol" w:hAnsi="Symbol"/>
        </w:rPr>
      </w:pPr>
      <w:r>
        <w:t>Points</w:t>
      </w:r>
      <w:r>
        <w:rPr>
          <w:spacing w:val="-3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(e.g.</w:t>
      </w:r>
      <w:r>
        <w:rPr>
          <w:spacing w:val="-2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Blue)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earns</w:t>
      </w:r>
      <w:r>
        <w:rPr>
          <w:spacing w:val="-3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redeems</w:t>
      </w:r>
      <w:r>
        <w:rPr>
          <w:spacing w:val="-2"/>
        </w:rPr>
        <w:t xml:space="preserve"> </w:t>
      </w:r>
      <w:r>
        <w:t>them,</w:t>
      </w:r>
      <w:r>
        <w:rPr>
          <w:spacing w:val="-6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 xml:space="preserve">of the cost, </w:t>
      </w:r>
      <w:r>
        <w:rPr>
          <w:b/>
          <w:u w:val="single"/>
        </w:rPr>
        <w:t>is</w:t>
      </w:r>
      <w:r>
        <w:rPr>
          <w:b/>
        </w:rPr>
        <w:t xml:space="preserve"> </w:t>
      </w:r>
      <w:r>
        <w:t>a taxable</w:t>
      </w:r>
      <w:r>
        <w:rPr>
          <w:spacing w:val="-14"/>
        </w:rPr>
        <w:t xml:space="preserve"> </w:t>
      </w:r>
      <w:r>
        <w:t>benefit</w:t>
      </w:r>
    </w:p>
    <w:p w:rsidR="00253ECC" w:rsidRDefault="00E7235A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right="401"/>
        <w:rPr>
          <w:rFonts w:ascii="Symbol" w:hAnsi="Symbol"/>
        </w:rPr>
      </w:pPr>
      <w:r>
        <w:t xml:space="preserve">A voucher that an employee can use to receive an item for a set value and no substitutes is generally considered to be a </w:t>
      </w:r>
      <w:r>
        <w:rPr>
          <w:b/>
        </w:rPr>
        <w:t xml:space="preserve">non-cash gift </w:t>
      </w:r>
      <w:r>
        <w:t>or award. Since there is no element of choice it is not a near-cash gift.</w:t>
      </w:r>
    </w:p>
    <w:p w:rsidR="00253ECC" w:rsidRDefault="00253ECC">
      <w:pPr>
        <w:pStyle w:val="BodyText"/>
      </w:pPr>
    </w:p>
    <w:p w:rsidR="00253ECC" w:rsidRDefault="00253ECC">
      <w:pPr>
        <w:pStyle w:val="BodyText"/>
      </w:pPr>
    </w:p>
    <w:p w:rsidR="00253ECC" w:rsidRDefault="00E7235A">
      <w:pPr>
        <w:spacing w:before="146" w:line="288" w:lineRule="auto"/>
        <w:ind w:left="120" w:right="755"/>
        <w:rPr>
          <w:i/>
        </w:rPr>
      </w:pPr>
      <w:r>
        <w:rPr>
          <w:i/>
        </w:rPr>
        <w:t xml:space="preserve">Items of small or trivial value (for example: mugs, T-shirts with employer logo, etc.) </w:t>
      </w:r>
      <w:r>
        <w:rPr>
          <w:i/>
          <w:u w:val="single"/>
        </w:rPr>
        <w:t>do not</w:t>
      </w:r>
      <w:r>
        <w:rPr>
          <w:i/>
        </w:rPr>
        <w:t xml:space="preserve"> have to be included when calculating the $500 limit.</w:t>
      </w:r>
    </w:p>
    <w:p w:rsidR="00253ECC" w:rsidRDefault="00E7235A">
      <w:pPr>
        <w:pStyle w:val="BodyText"/>
        <w:spacing w:before="124" w:line="266" w:lineRule="auto"/>
        <w:ind w:left="120" w:right="366"/>
      </w:pPr>
      <w:r>
        <w:t>For further clarity, if an individual receives a physical gift of $499 and then a gift card of $499, and no other remuneration from the University, a T4A is not required.</w:t>
      </w:r>
    </w:p>
    <w:p w:rsidR="00CC4D22" w:rsidRDefault="00CC4D22">
      <w:pPr>
        <w:pStyle w:val="BodyText"/>
        <w:spacing w:before="124" w:line="266" w:lineRule="auto"/>
        <w:ind w:left="120" w:right="366"/>
      </w:pPr>
    </w:p>
    <w:p w:rsidR="00CC4D22" w:rsidRPr="008B5C65" w:rsidRDefault="00CC4D22" w:rsidP="00CC4D22">
      <w:pPr>
        <w:pStyle w:val="Heading1"/>
        <w:rPr>
          <w:color w:val="1F4E79"/>
        </w:rPr>
      </w:pPr>
      <w:r w:rsidRPr="008B5C65">
        <w:rPr>
          <w:color w:val="1F4E79"/>
        </w:rPr>
        <w:t xml:space="preserve">Gift Cards </w:t>
      </w:r>
      <w:r w:rsidR="00E7235A" w:rsidRPr="008B5C65">
        <w:rPr>
          <w:color w:val="1F4E79"/>
        </w:rPr>
        <w:t xml:space="preserve">used </w:t>
      </w:r>
      <w:r w:rsidRPr="008B5C65">
        <w:rPr>
          <w:color w:val="1F4E79"/>
        </w:rPr>
        <w:t xml:space="preserve">as </w:t>
      </w:r>
      <w:r w:rsidR="00E7235A" w:rsidRPr="008B5C65">
        <w:rPr>
          <w:color w:val="1F4E79"/>
        </w:rPr>
        <w:t xml:space="preserve">a </w:t>
      </w:r>
      <w:r w:rsidRPr="008B5C65">
        <w:rPr>
          <w:color w:val="1F4E79"/>
        </w:rPr>
        <w:t>method of payment for goods or services:</w:t>
      </w:r>
    </w:p>
    <w:p w:rsidR="0082104A" w:rsidRPr="008B5C65" w:rsidRDefault="0082104A" w:rsidP="00F054AF">
      <w:pPr>
        <w:pStyle w:val="BodyText"/>
        <w:spacing w:before="124" w:line="266" w:lineRule="auto"/>
        <w:ind w:left="120" w:right="366"/>
        <w:jc w:val="both"/>
      </w:pPr>
      <w:r w:rsidRPr="008B5C65">
        <w:t xml:space="preserve">One of the key principles of the University’s reimbursement policy is that out of pocket expenses </w:t>
      </w:r>
      <w:r w:rsidR="00F64C9B" w:rsidRPr="008B5C65">
        <w:t xml:space="preserve">are reimbursable if they are </w:t>
      </w:r>
      <w:r w:rsidRPr="008B5C65">
        <w:t>spent</w:t>
      </w:r>
      <w:r w:rsidR="00F64C9B" w:rsidRPr="008B5C65">
        <w:t xml:space="preserve"> only</w:t>
      </w:r>
      <w:r w:rsidRPr="008B5C65">
        <w:t xml:space="preserve"> in the pursuit of Uni</w:t>
      </w:r>
      <w:r w:rsidR="00D82BFA" w:rsidRPr="008B5C65">
        <w:t>versity business. T</w:t>
      </w:r>
      <w:r w:rsidRPr="008B5C65">
        <w:t>he availability and desired use of gift cards can impact a claimant purchasing and vendor selection decisions. Therefore</w:t>
      </w:r>
      <w:r w:rsidR="00F054AF" w:rsidRPr="008B5C65">
        <w:t>,</w:t>
      </w:r>
      <w:r w:rsidRPr="008B5C65">
        <w:t xml:space="preserve"> purchases made using gift cards as payment cannot be reimbursed.</w:t>
      </w:r>
    </w:p>
    <w:p w:rsidR="00F054AF" w:rsidRPr="00F56FDE" w:rsidRDefault="00F054AF" w:rsidP="00F054AF">
      <w:pPr>
        <w:pStyle w:val="BodyText"/>
        <w:spacing w:before="124" w:line="266" w:lineRule="auto"/>
        <w:ind w:left="120" w:right="366"/>
        <w:jc w:val="both"/>
        <w:rPr>
          <w:highlight w:val="yellow"/>
        </w:rPr>
      </w:pPr>
    </w:p>
    <w:p w:rsidR="0082104A" w:rsidRPr="0082104A" w:rsidRDefault="0082104A" w:rsidP="0082104A">
      <w:pPr>
        <w:pStyle w:val="BodyText"/>
        <w:spacing w:before="124" w:line="266" w:lineRule="auto"/>
        <w:ind w:left="120" w:right="366"/>
        <w:rPr>
          <w:highlight w:val="yellow"/>
        </w:rPr>
      </w:pPr>
    </w:p>
    <w:sectPr w:rsidR="0082104A" w:rsidRPr="0082104A">
      <w:pgSz w:w="12240" w:h="15840"/>
      <w:pgMar w:top="1400" w:right="10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FC0"/>
    <w:multiLevelType w:val="hybridMultilevel"/>
    <w:tmpl w:val="D26C0C82"/>
    <w:lvl w:ilvl="0" w:tplc="43EAD11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9FA252E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en-US"/>
      </w:rPr>
    </w:lvl>
    <w:lvl w:ilvl="2" w:tplc="BD54C8A0">
      <w:numFmt w:val="bullet"/>
      <w:lvlText w:val="•"/>
      <w:lvlJc w:val="left"/>
      <w:pPr>
        <w:ind w:left="1138" w:hanging="360"/>
      </w:pPr>
      <w:rPr>
        <w:rFonts w:hint="default"/>
        <w:lang w:val="en-US" w:eastAsia="en-US" w:bidi="en-US"/>
      </w:rPr>
    </w:lvl>
    <w:lvl w:ilvl="3" w:tplc="25E07EBC">
      <w:numFmt w:val="bullet"/>
      <w:lvlText w:val="•"/>
      <w:lvlJc w:val="left"/>
      <w:pPr>
        <w:ind w:left="1347" w:hanging="360"/>
      </w:pPr>
      <w:rPr>
        <w:rFonts w:hint="default"/>
        <w:lang w:val="en-US" w:eastAsia="en-US" w:bidi="en-US"/>
      </w:rPr>
    </w:lvl>
    <w:lvl w:ilvl="4" w:tplc="6128BB48"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en-US"/>
      </w:rPr>
    </w:lvl>
    <w:lvl w:ilvl="5" w:tplc="73980B84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en-US"/>
      </w:rPr>
    </w:lvl>
    <w:lvl w:ilvl="6" w:tplc="105CDD94"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en-US"/>
      </w:rPr>
    </w:lvl>
    <w:lvl w:ilvl="7" w:tplc="F8988F94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en-US"/>
      </w:rPr>
    </w:lvl>
    <w:lvl w:ilvl="8" w:tplc="B03C70C4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94C544E"/>
    <w:multiLevelType w:val="hybridMultilevel"/>
    <w:tmpl w:val="0A2C94F8"/>
    <w:lvl w:ilvl="0" w:tplc="69462F9A">
      <w:numFmt w:val="bullet"/>
      <w:lvlText w:val=""/>
      <w:lvlJc w:val="left"/>
      <w:pPr>
        <w:ind w:left="480" w:hanging="360"/>
      </w:pPr>
      <w:rPr>
        <w:rFonts w:hint="default"/>
        <w:w w:val="100"/>
        <w:lang w:val="en-US" w:eastAsia="en-US" w:bidi="en-US"/>
      </w:rPr>
    </w:lvl>
    <w:lvl w:ilvl="1" w:tplc="8598868A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en-US"/>
      </w:rPr>
    </w:lvl>
    <w:lvl w:ilvl="2" w:tplc="F6884974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en-US"/>
      </w:rPr>
    </w:lvl>
    <w:lvl w:ilvl="3" w:tplc="6B9CB1A6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en-US"/>
      </w:rPr>
    </w:lvl>
    <w:lvl w:ilvl="4" w:tplc="B47A5FEC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6E00703E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6" w:tplc="75AE2E4A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en-US"/>
      </w:rPr>
    </w:lvl>
    <w:lvl w:ilvl="7" w:tplc="3FAE6A7A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en-US"/>
      </w:rPr>
    </w:lvl>
    <w:lvl w:ilvl="8" w:tplc="5D0031C6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19211B6"/>
    <w:multiLevelType w:val="hybridMultilevel"/>
    <w:tmpl w:val="4ACA75D8"/>
    <w:lvl w:ilvl="0" w:tplc="52B0967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9FEADAE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en-US"/>
      </w:rPr>
    </w:lvl>
    <w:lvl w:ilvl="2" w:tplc="5EB4A4CC">
      <w:numFmt w:val="bullet"/>
      <w:lvlText w:val="•"/>
      <w:lvlJc w:val="left"/>
      <w:pPr>
        <w:ind w:left="1138" w:hanging="360"/>
      </w:pPr>
      <w:rPr>
        <w:rFonts w:hint="default"/>
        <w:lang w:val="en-US" w:eastAsia="en-US" w:bidi="en-US"/>
      </w:rPr>
    </w:lvl>
    <w:lvl w:ilvl="3" w:tplc="D9A2CBC4">
      <w:numFmt w:val="bullet"/>
      <w:lvlText w:val="•"/>
      <w:lvlJc w:val="left"/>
      <w:pPr>
        <w:ind w:left="1347" w:hanging="360"/>
      </w:pPr>
      <w:rPr>
        <w:rFonts w:hint="default"/>
        <w:lang w:val="en-US" w:eastAsia="en-US" w:bidi="en-US"/>
      </w:rPr>
    </w:lvl>
    <w:lvl w:ilvl="4" w:tplc="B3B812EC"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en-US"/>
      </w:rPr>
    </w:lvl>
    <w:lvl w:ilvl="5" w:tplc="462425D2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en-US"/>
      </w:rPr>
    </w:lvl>
    <w:lvl w:ilvl="6" w:tplc="37122D00"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en-US"/>
      </w:rPr>
    </w:lvl>
    <w:lvl w:ilvl="7" w:tplc="D992364A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en-US"/>
      </w:rPr>
    </w:lvl>
    <w:lvl w:ilvl="8" w:tplc="384624AA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67F20AE7"/>
    <w:multiLevelType w:val="hybridMultilevel"/>
    <w:tmpl w:val="FB5A5358"/>
    <w:lvl w:ilvl="0" w:tplc="E0B2A1F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3584594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en-US"/>
      </w:rPr>
    </w:lvl>
    <w:lvl w:ilvl="2" w:tplc="C0BC8D36">
      <w:numFmt w:val="bullet"/>
      <w:lvlText w:val="•"/>
      <w:lvlJc w:val="left"/>
      <w:pPr>
        <w:ind w:left="1138" w:hanging="360"/>
      </w:pPr>
      <w:rPr>
        <w:rFonts w:hint="default"/>
        <w:lang w:val="en-US" w:eastAsia="en-US" w:bidi="en-US"/>
      </w:rPr>
    </w:lvl>
    <w:lvl w:ilvl="3" w:tplc="D8C23A1E">
      <w:numFmt w:val="bullet"/>
      <w:lvlText w:val="•"/>
      <w:lvlJc w:val="left"/>
      <w:pPr>
        <w:ind w:left="1347" w:hanging="360"/>
      </w:pPr>
      <w:rPr>
        <w:rFonts w:hint="default"/>
        <w:lang w:val="en-US" w:eastAsia="en-US" w:bidi="en-US"/>
      </w:rPr>
    </w:lvl>
    <w:lvl w:ilvl="4" w:tplc="10063BC2"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en-US"/>
      </w:rPr>
    </w:lvl>
    <w:lvl w:ilvl="5" w:tplc="D9D8D63E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en-US"/>
      </w:rPr>
    </w:lvl>
    <w:lvl w:ilvl="6" w:tplc="9AE491A2"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en-US"/>
      </w:rPr>
    </w:lvl>
    <w:lvl w:ilvl="7" w:tplc="85D84230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en-US"/>
      </w:rPr>
    </w:lvl>
    <w:lvl w:ilvl="8" w:tplc="87B253CC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7FAF2C42"/>
    <w:multiLevelType w:val="hybridMultilevel"/>
    <w:tmpl w:val="498E5320"/>
    <w:lvl w:ilvl="0" w:tplc="6B1CB26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2C25A00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en-US"/>
      </w:rPr>
    </w:lvl>
    <w:lvl w:ilvl="2" w:tplc="14F68CC2">
      <w:numFmt w:val="bullet"/>
      <w:lvlText w:val="•"/>
      <w:lvlJc w:val="left"/>
      <w:pPr>
        <w:ind w:left="1138" w:hanging="360"/>
      </w:pPr>
      <w:rPr>
        <w:rFonts w:hint="default"/>
        <w:lang w:val="en-US" w:eastAsia="en-US" w:bidi="en-US"/>
      </w:rPr>
    </w:lvl>
    <w:lvl w:ilvl="3" w:tplc="97900FD4">
      <w:numFmt w:val="bullet"/>
      <w:lvlText w:val="•"/>
      <w:lvlJc w:val="left"/>
      <w:pPr>
        <w:ind w:left="1347" w:hanging="360"/>
      </w:pPr>
      <w:rPr>
        <w:rFonts w:hint="default"/>
        <w:lang w:val="en-US" w:eastAsia="en-US" w:bidi="en-US"/>
      </w:rPr>
    </w:lvl>
    <w:lvl w:ilvl="4" w:tplc="9600054C"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en-US"/>
      </w:rPr>
    </w:lvl>
    <w:lvl w:ilvl="5" w:tplc="AA667D70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en-US"/>
      </w:rPr>
    </w:lvl>
    <w:lvl w:ilvl="6" w:tplc="B020385A"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en-US"/>
      </w:rPr>
    </w:lvl>
    <w:lvl w:ilvl="7" w:tplc="2A22AFEC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en-US"/>
      </w:rPr>
    </w:lvl>
    <w:lvl w:ilvl="8" w:tplc="785CCEBC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253ECC"/>
    <w:rsid w:val="001F54A1"/>
    <w:rsid w:val="00253ECC"/>
    <w:rsid w:val="002B2530"/>
    <w:rsid w:val="002D2FE0"/>
    <w:rsid w:val="003632FA"/>
    <w:rsid w:val="004A5732"/>
    <w:rsid w:val="006F3BE7"/>
    <w:rsid w:val="0082104A"/>
    <w:rsid w:val="00855452"/>
    <w:rsid w:val="008B5C65"/>
    <w:rsid w:val="0095301A"/>
    <w:rsid w:val="00CC4D22"/>
    <w:rsid w:val="00D82BFA"/>
    <w:rsid w:val="00DF2E62"/>
    <w:rsid w:val="00E7235A"/>
    <w:rsid w:val="00F054AF"/>
    <w:rsid w:val="00F56FDE"/>
    <w:rsid w:val="00F6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C32315-8B81-45B8-A505-21B717B6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4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4AF"/>
    <w:rPr>
      <w:rFonts w:ascii="Segoe UI" w:eastAsia="Calibri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3632FA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B5C65"/>
    <w:pPr>
      <w:spacing w:after="200"/>
    </w:pPr>
    <w:rPr>
      <w:i/>
      <w:iCs/>
      <w:color w:val="1F497D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F3B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 Mississauga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Capewell</dc:creator>
  <cp:lastModifiedBy>Vesela Angelova</cp:lastModifiedBy>
  <cp:revision>4</cp:revision>
  <cp:lastPrinted>2022-04-11T19:34:00Z</cp:lastPrinted>
  <dcterms:created xsi:type="dcterms:W3CDTF">2022-04-14T15:19:00Z</dcterms:created>
  <dcterms:modified xsi:type="dcterms:W3CDTF">2022-04-14T15:26:00Z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2022-04-11T00:00:00Z</vt:filetime>
  </property>
</Properties>
</file>